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A4518" w14:textId="4CA22954" w:rsidR="00CF4628" w:rsidRDefault="00F676A4">
      <w:pPr>
        <w:jc w:val="both"/>
        <w:rPr>
          <w:lang w:val="en-US"/>
        </w:rPr>
      </w:pPr>
      <w:r w:rsidRPr="00F676A4">
        <w:rPr>
          <w:lang w:val="en-US"/>
        </w:rPr>
        <w:t>On 15 January 2021</w:t>
      </w:r>
      <w:r>
        <w:rPr>
          <w:lang w:val="en-US"/>
        </w:rPr>
        <w:t>,</w:t>
      </w:r>
      <w:r w:rsidRPr="00F676A4">
        <w:rPr>
          <w:lang w:val="en-US"/>
        </w:rPr>
        <w:t xml:space="preserve"> o</w:t>
      </w:r>
      <w:r>
        <w:rPr>
          <w:lang w:val="en-US"/>
        </w:rPr>
        <w:t xml:space="preserve">n the Official Journal of the EU </w:t>
      </w:r>
      <w:r w:rsidRPr="00F676A4">
        <w:rPr>
          <w:lang w:val="en-US"/>
        </w:rPr>
        <w:t>it was published</w:t>
      </w:r>
      <w:r>
        <w:rPr>
          <w:lang w:val="en-US"/>
        </w:rPr>
        <w:t xml:space="preserve"> the </w:t>
      </w:r>
      <w:r w:rsidRPr="00F676A4">
        <w:rPr>
          <w:i/>
          <w:iCs/>
          <w:lang w:val="en-US"/>
        </w:rPr>
        <w:t>Commission Implementing Decision (EU) 2021/27 of 7 January 2021 on the request for registration of the European citizens’ initiative entitled ‘</w:t>
      </w:r>
      <w:r w:rsidRPr="003C53A5">
        <w:rPr>
          <w:b/>
          <w:bCs/>
          <w:i/>
          <w:iCs/>
          <w:lang w:val="en-US"/>
        </w:rPr>
        <w:t xml:space="preserve">Civil society initiative for a ban on biometric mass surveillance </w:t>
      </w:r>
      <w:r w:rsidR="00094341" w:rsidRPr="003C53A5">
        <w:rPr>
          <w:b/>
          <w:bCs/>
          <w:i/>
          <w:iCs/>
          <w:lang w:val="en-US"/>
        </w:rPr>
        <w:t>practices</w:t>
      </w:r>
      <w:r w:rsidR="00094341" w:rsidRPr="00F676A4">
        <w:rPr>
          <w:i/>
          <w:iCs/>
          <w:lang w:val="en-US"/>
        </w:rPr>
        <w:t xml:space="preserve"> ‘</w:t>
      </w:r>
      <w:r>
        <w:rPr>
          <w:lang w:val="en-US"/>
        </w:rPr>
        <w:t>.</w:t>
      </w:r>
    </w:p>
    <w:p w14:paraId="1B6DE081" w14:textId="77777777" w:rsidR="00525550" w:rsidRDefault="00525550">
      <w:pPr>
        <w:jc w:val="both"/>
        <w:rPr>
          <w:lang w:val="en-US"/>
        </w:rPr>
      </w:pPr>
    </w:p>
    <w:p w14:paraId="2E0A3198" w14:textId="2533D835" w:rsidR="0056778C" w:rsidRDefault="00525550" w:rsidP="0056778C">
      <w:pPr>
        <w:jc w:val="both"/>
        <w:rPr>
          <w:lang w:val="en-US"/>
        </w:rPr>
      </w:pPr>
      <w:r>
        <w:rPr>
          <w:lang w:val="en-US"/>
        </w:rPr>
        <w:t>Registered on 7 January 2021,</w:t>
      </w:r>
      <w:r w:rsidRPr="00525550">
        <w:rPr>
          <w:lang w:val="en-US"/>
        </w:rPr>
        <w:t xml:space="preserve"> </w:t>
      </w:r>
      <w:r>
        <w:rPr>
          <w:lang w:val="en-US"/>
        </w:rPr>
        <w:t xml:space="preserve">the initiative </w:t>
      </w:r>
      <w:r w:rsidR="004B1383">
        <w:rPr>
          <w:lang w:val="en-US"/>
        </w:rPr>
        <w:t>calls on the Commission</w:t>
      </w:r>
      <w:r w:rsidRPr="00525550">
        <w:rPr>
          <w:lang w:val="en-US"/>
        </w:rPr>
        <w:t xml:space="preserve"> </w:t>
      </w:r>
      <w:r w:rsidR="004B1383" w:rsidRPr="004B1383">
        <w:rPr>
          <w:lang w:val="en-US"/>
        </w:rPr>
        <w:t>to adopt a legislative proposal</w:t>
      </w:r>
      <w:r w:rsidR="0056778C">
        <w:rPr>
          <w:lang w:val="en-US"/>
        </w:rPr>
        <w:t xml:space="preserve"> to</w:t>
      </w:r>
      <w:r w:rsidR="0056778C" w:rsidRPr="00525550">
        <w:rPr>
          <w:lang w:val="en-US"/>
        </w:rPr>
        <w:t xml:space="preserve"> strictly regulate the use of biometric technologies in order to avoid undue interference with fundamental rights, and to prohibit, in law and in practice, indiscriminate or arbitrarily-targeted uses of biometrics which can lead to unlawful mass surveillance (unnecessary or disproportionate interference with people’s fundamental rights).</w:t>
      </w:r>
      <w:r w:rsidR="003962CA">
        <w:rPr>
          <w:lang w:val="en-US"/>
        </w:rPr>
        <w:t xml:space="preserve"> </w:t>
      </w:r>
    </w:p>
    <w:p w14:paraId="50FA239F" w14:textId="33D41F97" w:rsidR="003962CA" w:rsidRDefault="003962CA" w:rsidP="0056778C">
      <w:pPr>
        <w:jc w:val="both"/>
        <w:rPr>
          <w:lang w:val="en-US"/>
        </w:rPr>
      </w:pPr>
      <w:r>
        <w:rPr>
          <w:lang w:val="en-US"/>
        </w:rPr>
        <w:t>The legislative proposal would be</w:t>
      </w:r>
      <w:r w:rsidRPr="004B1383">
        <w:rPr>
          <w:lang w:val="en-US"/>
        </w:rPr>
        <w:t xml:space="preserve"> </w:t>
      </w:r>
      <w:r>
        <w:rPr>
          <w:lang w:val="en-US"/>
        </w:rPr>
        <w:t xml:space="preserve">based on </w:t>
      </w:r>
      <w:r w:rsidRPr="004B1383">
        <w:rPr>
          <w:lang w:val="en-US"/>
        </w:rPr>
        <w:t xml:space="preserve">the competence attributed to the EU by </w:t>
      </w:r>
      <w:r>
        <w:rPr>
          <w:lang w:val="en-US"/>
        </w:rPr>
        <w:t>a</w:t>
      </w:r>
      <w:r w:rsidRPr="004B1383">
        <w:rPr>
          <w:lang w:val="en-US"/>
        </w:rPr>
        <w:t xml:space="preserve">rticle 16(2) and/or </w:t>
      </w:r>
      <w:r>
        <w:rPr>
          <w:lang w:val="en-US"/>
        </w:rPr>
        <w:t>a</w:t>
      </w:r>
      <w:r w:rsidRPr="004B1383">
        <w:rPr>
          <w:lang w:val="en-US"/>
        </w:rPr>
        <w:t>rticle 114 TFEU</w:t>
      </w:r>
      <w:r>
        <w:rPr>
          <w:lang w:val="en-US"/>
        </w:rPr>
        <w:t xml:space="preserve">, </w:t>
      </w:r>
      <w:r w:rsidRPr="004B1383">
        <w:rPr>
          <w:lang w:val="en-US"/>
        </w:rPr>
        <w:t>depending on whether the use of biometrics would be banned or strictly regulated</w:t>
      </w:r>
      <w:r>
        <w:rPr>
          <w:lang w:val="en-US"/>
        </w:rPr>
        <w:t>.</w:t>
      </w:r>
    </w:p>
    <w:p w14:paraId="7D422BA8" w14:textId="71C222D7" w:rsidR="0056778C" w:rsidRDefault="0056778C">
      <w:pPr>
        <w:jc w:val="both"/>
        <w:rPr>
          <w:lang w:val="en-US"/>
        </w:rPr>
      </w:pPr>
    </w:p>
    <w:p w14:paraId="28736A80" w14:textId="1BDA8DD7" w:rsidR="0056778C" w:rsidRDefault="0056778C" w:rsidP="0056778C">
      <w:pPr>
        <w:jc w:val="both"/>
        <w:rPr>
          <w:lang w:val="en-US"/>
        </w:rPr>
      </w:pPr>
      <w:r>
        <w:rPr>
          <w:lang w:val="en-US"/>
        </w:rPr>
        <w:t xml:space="preserve">More particularly, the initiative invites the Commission to submit </w:t>
      </w:r>
      <w:r w:rsidRPr="004B1383">
        <w:rPr>
          <w:lang w:val="en-US"/>
        </w:rPr>
        <w:t xml:space="preserve">binding rules which – building on and with full respect for the general safeguards in the </w:t>
      </w:r>
      <w:r w:rsidRPr="0056778C">
        <w:rPr>
          <w:lang w:val="en-US"/>
        </w:rPr>
        <w:t>General Data Protection Regulation</w:t>
      </w:r>
      <w:r>
        <w:rPr>
          <w:lang w:val="en-US"/>
        </w:rPr>
        <w:t xml:space="preserve"> (GDPR, </w:t>
      </w:r>
      <w:r w:rsidRPr="0056778C">
        <w:rPr>
          <w:lang w:val="en-US"/>
        </w:rPr>
        <w:t>Regulation (EU) 2016/679</w:t>
      </w:r>
      <w:r>
        <w:rPr>
          <w:lang w:val="en-US"/>
        </w:rPr>
        <w:t xml:space="preserve">) and </w:t>
      </w:r>
      <w:r w:rsidRPr="0056778C">
        <w:rPr>
          <w:lang w:val="en-US"/>
        </w:rPr>
        <w:t>Data Protection Law Enforcement Directive</w:t>
      </w:r>
      <w:r>
        <w:rPr>
          <w:lang w:val="en-US"/>
        </w:rPr>
        <w:t xml:space="preserve"> (</w:t>
      </w:r>
      <w:r w:rsidRPr="004B1383">
        <w:rPr>
          <w:lang w:val="en-US"/>
        </w:rPr>
        <w:t>LED</w:t>
      </w:r>
      <w:r>
        <w:rPr>
          <w:lang w:val="en-US"/>
        </w:rPr>
        <w:t xml:space="preserve">, </w:t>
      </w:r>
      <w:r w:rsidRPr="0056778C">
        <w:rPr>
          <w:lang w:val="en-US"/>
        </w:rPr>
        <w:t>Directive (EU) 2016/680</w:t>
      </w:r>
      <w:r>
        <w:rPr>
          <w:lang w:val="en-US"/>
        </w:rPr>
        <w:t xml:space="preserve">) </w:t>
      </w:r>
      <w:r w:rsidRPr="004B1383">
        <w:rPr>
          <w:lang w:val="en-US"/>
        </w:rPr>
        <w:t xml:space="preserve">– would </w:t>
      </w:r>
      <w:r w:rsidRPr="0056778C">
        <w:rPr>
          <w:b/>
          <w:bCs/>
          <w:lang w:val="en-US"/>
        </w:rPr>
        <w:t>explicitly prohibit the use of biometric data for identification, recognition (including of emotions), profiling, prediction and any related purpose, in public or publicly</w:t>
      </w:r>
      <w:r>
        <w:rPr>
          <w:b/>
          <w:bCs/>
          <w:lang w:val="en-US"/>
        </w:rPr>
        <w:t xml:space="preserve"> </w:t>
      </w:r>
      <w:r w:rsidRPr="0056778C">
        <w:rPr>
          <w:b/>
          <w:bCs/>
          <w:lang w:val="en-US"/>
        </w:rPr>
        <w:t>accessible spaces</w:t>
      </w:r>
      <w:r w:rsidRPr="004B1383">
        <w:rPr>
          <w:lang w:val="en-US"/>
        </w:rPr>
        <w:t xml:space="preserve"> </w:t>
      </w:r>
      <w:r w:rsidRPr="0056778C">
        <w:rPr>
          <w:b/>
          <w:bCs/>
          <w:lang w:val="en-US"/>
        </w:rPr>
        <w:t xml:space="preserve">(including online spaces) </w:t>
      </w:r>
      <w:r w:rsidRPr="004B1383">
        <w:rPr>
          <w:lang w:val="en-US"/>
        </w:rPr>
        <w:t>on the grounds that this leads to</w:t>
      </w:r>
      <w:r>
        <w:rPr>
          <w:lang w:val="en-US"/>
        </w:rPr>
        <w:t xml:space="preserve"> </w:t>
      </w:r>
      <w:r w:rsidRPr="004B1383">
        <w:rPr>
          <w:lang w:val="en-US"/>
        </w:rPr>
        <w:t>inherently unnecessary and disproportionate mass surveillance.</w:t>
      </w:r>
    </w:p>
    <w:p w14:paraId="3FBF8F76" w14:textId="6BCCA950" w:rsidR="0056778C" w:rsidRDefault="0056778C">
      <w:pPr>
        <w:jc w:val="both"/>
        <w:rPr>
          <w:lang w:val="en-US"/>
        </w:rPr>
      </w:pPr>
    </w:p>
    <w:p w14:paraId="032DDC31" w14:textId="480E470A" w:rsidR="004D35B8" w:rsidRDefault="003962CA">
      <w:pPr>
        <w:jc w:val="both"/>
        <w:rPr>
          <w:lang w:val="en-US"/>
        </w:rPr>
      </w:pPr>
      <w:r>
        <w:rPr>
          <w:lang w:val="en-US"/>
        </w:rPr>
        <w:t xml:space="preserve">It is noteworthy that this European citizens’ initiative is contemporary to </w:t>
      </w:r>
      <w:r w:rsidR="002D6B8B">
        <w:rPr>
          <w:lang w:val="en-US"/>
        </w:rPr>
        <w:t>the</w:t>
      </w:r>
      <w:r>
        <w:rPr>
          <w:lang w:val="en-US"/>
        </w:rPr>
        <w:t xml:space="preserve"> </w:t>
      </w:r>
      <w:r w:rsidR="004D35B8">
        <w:rPr>
          <w:lang w:val="en-US"/>
        </w:rPr>
        <w:t>request</w:t>
      </w:r>
      <w:r>
        <w:rPr>
          <w:lang w:val="en-US"/>
        </w:rPr>
        <w:t xml:space="preserve"> of the </w:t>
      </w:r>
      <w:r w:rsidR="001C79CD" w:rsidRPr="001C79CD">
        <w:rPr>
          <w:lang w:val="en-US"/>
        </w:rPr>
        <w:t>Advocacy Officer for Internet Freedom at Reporters Without Borders</w:t>
      </w:r>
      <w:r>
        <w:rPr>
          <w:lang w:val="en-US"/>
        </w:rPr>
        <w:t xml:space="preserve">, </w:t>
      </w:r>
      <w:r w:rsidR="001C79CD">
        <w:rPr>
          <w:lang w:val="en-US"/>
        </w:rPr>
        <w:t>Lisa Dittmer</w:t>
      </w:r>
      <w:r w:rsidR="004D35B8">
        <w:rPr>
          <w:lang w:val="en-US"/>
        </w:rPr>
        <w:t xml:space="preserve">, who, in occasion of the 2020 Export Control Forum and in the context of the evaluation of the </w:t>
      </w:r>
      <w:r w:rsidR="004D35B8" w:rsidRPr="004D35B8">
        <w:rPr>
          <w:b/>
          <w:bCs/>
          <w:lang w:val="en-US"/>
        </w:rPr>
        <w:t>new EU export control regime (Recast of the Dual-Use Regulation)</w:t>
      </w:r>
      <w:r w:rsidR="004D35B8">
        <w:rPr>
          <w:lang w:val="en-US"/>
        </w:rPr>
        <w:t xml:space="preserve">, called </w:t>
      </w:r>
      <w:r w:rsidR="004D35B8" w:rsidRPr="004D35B8">
        <w:rPr>
          <w:lang w:val="en-US"/>
        </w:rPr>
        <w:t xml:space="preserve">for a </w:t>
      </w:r>
      <w:r w:rsidR="004D35B8" w:rsidRPr="004D35B8">
        <w:rPr>
          <w:b/>
          <w:bCs/>
          <w:lang w:val="en-US"/>
        </w:rPr>
        <w:t>ban on the export of facial recognition technology</w:t>
      </w:r>
      <w:r w:rsidR="004D35B8" w:rsidRPr="004D35B8">
        <w:rPr>
          <w:lang w:val="en-US"/>
        </w:rPr>
        <w:t xml:space="preserve"> for identification purposes</w:t>
      </w:r>
      <w:r w:rsidR="004D35B8">
        <w:rPr>
          <w:lang w:val="en-US"/>
        </w:rPr>
        <w:t>.</w:t>
      </w:r>
    </w:p>
    <w:p w14:paraId="1CBA5016" w14:textId="073C228B" w:rsidR="00525550" w:rsidRDefault="00525550">
      <w:pPr>
        <w:jc w:val="both"/>
        <w:rPr>
          <w:lang w:val="en-US"/>
        </w:rPr>
      </w:pPr>
    </w:p>
    <w:p w14:paraId="3FE70088" w14:textId="6262B6B7" w:rsidR="00525550" w:rsidRDefault="00525550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="004D35B8">
        <w:rPr>
          <w:lang w:val="en-US"/>
        </w:rPr>
        <w:t>European citizens’ initiative text and its future</w:t>
      </w:r>
      <w:r>
        <w:rPr>
          <w:lang w:val="en-US"/>
        </w:rPr>
        <w:t xml:space="preserve"> developments can be </w:t>
      </w:r>
      <w:r w:rsidR="003A4EB5">
        <w:rPr>
          <w:lang w:val="en-US"/>
        </w:rPr>
        <w:t>consulted</w:t>
      </w:r>
      <w:r>
        <w:rPr>
          <w:lang w:val="en-US"/>
        </w:rPr>
        <w:t xml:space="preserve"> </w:t>
      </w:r>
      <w:r w:rsidR="004B1383">
        <w:rPr>
          <w:lang w:val="en-US"/>
        </w:rPr>
        <w:t>at the following link:</w:t>
      </w:r>
    </w:p>
    <w:p w14:paraId="1FBEAB1D" w14:textId="3E3EDD70" w:rsidR="00525550" w:rsidRDefault="00ED0FE9">
      <w:pPr>
        <w:jc w:val="both"/>
        <w:rPr>
          <w:lang w:val="en-US"/>
        </w:rPr>
      </w:pPr>
      <w:hyperlink r:id="rId6" w:history="1">
        <w:r w:rsidR="00525550" w:rsidRPr="006262E4">
          <w:rPr>
            <w:rStyle w:val="Collegamentoipertestuale"/>
            <w:lang w:val="en-US"/>
          </w:rPr>
          <w:t>https://europa.eu/citizens-initiative/initiatives/details/2021/000001_en</w:t>
        </w:r>
      </w:hyperlink>
      <w:r w:rsidR="00525550">
        <w:rPr>
          <w:lang w:val="en-US"/>
        </w:rPr>
        <w:t xml:space="preserve"> </w:t>
      </w:r>
    </w:p>
    <w:p w14:paraId="0CC1DFB1" w14:textId="04AF4027" w:rsidR="004D35B8" w:rsidRDefault="004D35B8">
      <w:pPr>
        <w:jc w:val="both"/>
        <w:rPr>
          <w:lang w:val="en-US"/>
        </w:rPr>
      </w:pPr>
    </w:p>
    <w:p w14:paraId="523CCA25" w14:textId="1697F2FD" w:rsidR="004D35B8" w:rsidRDefault="003A4EB5">
      <w:pPr>
        <w:jc w:val="both"/>
        <w:rPr>
          <w:lang w:val="en-US"/>
        </w:rPr>
      </w:pPr>
      <w:r>
        <w:rPr>
          <w:lang w:val="en-US"/>
        </w:rPr>
        <w:t>Further information on the new EU export control regime can be found here:</w:t>
      </w:r>
    </w:p>
    <w:p w14:paraId="5E519C5D" w14:textId="4C7FA637" w:rsidR="003A4EB5" w:rsidRPr="00F676A4" w:rsidRDefault="00ED0FE9">
      <w:pPr>
        <w:jc w:val="both"/>
        <w:rPr>
          <w:lang w:val="en-US"/>
        </w:rPr>
      </w:pPr>
      <w:hyperlink r:id="rId7" w:history="1">
        <w:r w:rsidR="003A4EB5" w:rsidRPr="006262E4">
          <w:rPr>
            <w:rStyle w:val="Collegamentoipertestuale"/>
            <w:lang w:val="en-US"/>
          </w:rPr>
          <w:t>http://www.esu.ulg.ac.be/file/20201215075555_Dual-Use-RECAST-final-agreement-18-Nov-2020.pdf</w:t>
        </w:r>
      </w:hyperlink>
      <w:r w:rsidR="003A4EB5">
        <w:rPr>
          <w:lang w:val="en-US"/>
        </w:rPr>
        <w:t xml:space="preserve"> </w:t>
      </w:r>
    </w:p>
    <w:sectPr w:rsidR="003A4EB5" w:rsidRPr="00F676A4">
      <w:headerReference w:type="default" r:id="rId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18EDA" w14:textId="77777777" w:rsidR="00ED0FE9" w:rsidRDefault="00ED0FE9">
      <w:r>
        <w:separator/>
      </w:r>
    </w:p>
  </w:endnote>
  <w:endnote w:type="continuationSeparator" w:id="0">
    <w:p w14:paraId="099B6AE3" w14:textId="77777777" w:rsidR="00ED0FE9" w:rsidRDefault="00ED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21628" w14:textId="77777777" w:rsidR="00ED0FE9" w:rsidRDefault="00ED0FE9">
      <w:r>
        <w:separator/>
      </w:r>
    </w:p>
  </w:footnote>
  <w:footnote w:type="continuationSeparator" w:id="0">
    <w:p w14:paraId="3681AA40" w14:textId="77777777" w:rsidR="00ED0FE9" w:rsidRDefault="00ED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87EA" w14:textId="7DC2D974" w:rsidR="00CF4628" w:rsidRDefault="00E0711F">
    <w:pPr>
      <w:spacing w:beforeAutospacing="1" w:afterAutospacing="1"/>
      <w:rPr>
        <w:rFonts w:ascii="Times New Roman" w:eastAsia="Times New Roman" w:hAnsi="Times New Roman" w:cs="Times New Roman"/>
        <w:i/>
        <w:iCs/>
        <w:sz w:val="20"/>
        <w:szCs w:val="20"/>
        <w:lang w:eastAsia="en-GB"/>
      </w:rPr>
    </w:pPr>
    <w:r>
      <w:rPr>
        <w:noProof/>
      </w:rPr>
      <w:drawing>
        <wp:anchor distT="0" distB="1270" distL="114300" distR="114300" simplePos="0" relativeHeight="2" behindDoc="1" locked="0" layoutInCell="1" allowOverlap="1" wp14:anchorId="1F02A541" wp14:editId="438A6490">
          <wp:simplePos x="0" y="0"/>
          <wp:positionH relativeFrom="column">
            <wp:posOffset>4940935</wp:posOffset>
          </wp:positionH>
          <wp:positionV relativeFrom="paragraph">
            <wp:posOffset>-330200</wp:posOffset>
          </wp:positionV>
          <wp:extent cx="780415" cy="55816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58" t="29476" r="31027" b="52285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76A4" w:rsidRPr="00F676A4">
      <w:rPr>
        <w:rFonts w:eastAsia="Times New Roman" w:cs="Calibri"/>
        <w:i/>
        <w:iCs/>
        <w:sz w:val="20"/>
        <w:szCs w:val="20"/>
        <w:lang w:val="en-US" w:eastAsia="en-GB"/>
      </w:rPr>
      <w:t xml:space="preserve">Enzo </w:t>
    </w:r>
    <w:proofErr w:type="spellStart"/>
    <w:proofErr w:type="gramStart"/>
    <w:r w:rsidR="00F676A4" w:rsidRPr="00F676A4">
      <w:rPr>
        <w:rFonts w:eastAsia="Times New Roman" w:cs="Calibri"/>
        <w:i/>
        <w:iCs/>
        <w:sz w:val="20"/>
        <w:szCs w:val="20"/>
        <w:lang w:val="en-US" w:eastAsia="en-GB"/>
      </w:rPr>
      <w:t>Caponetti</w:t>
    </w:r>
    <w:proofErr w:type="spellEnd"/>
    <w:r w:rsidR="00F676A4" w:rsidRPr="00F676A4">
      <w:rPr>
        <w:rFonts w:eastAsia="Times New Roman" w:cs="Calibri"/>
        <w:i/>
        <w:iCs/>
        <w:sz w:val="20"/>
        <w:szCs w:val="20"/>
        <w:lang w:val="en-US" w:eastAsia="en-GB"/>
      </w:rPr>
      <w:t xml:space="preserve"> </w:t>
    </w:r>
    <w:r>
      <w:rPr>
        <w:rFonts w:eastAsia="Times New Roman" w:cs="Calibri"/>
        <w:i/>
        <w:iCs/>
        <w:sz w:val="20"/>
        <w:szCs w:val="20"/>
        <w:lang w:eastAsia="en-GB"/>
      </w:rPr>
      <w:t xml:space="preserve"> –</w:t>
    </w:r>
    <w:proofErr w:type="gramEnd"/>
    <w:r>
      <w:rPr>
        <w:rFonts w:eastAsia="Times New Roman" w:cs="Calibri"/>
        <w:i/>
        <w:iCs/>
        <w:sz w:val="20"/>
        <w:szCs w:val="20"/>
        <w:lang w:eastAsia="en-GB"/>
      </w:rPr>
      <w:t xml:space="preserve"> ESU – </w:t>
    </w:r>
    <w:r w:rsidR="00F676A4">
      <w:rPr>
        <w:rFonts w:eastAsia="Times New Roman" w:cs="Calibri"/>
        <w:i/>
        <w:iCs/>
        <w:sz w:val="20"/>
        <w:szCs w:val="20"/>
        <w:lang w:val="en-US" w:eastAsia="en-GB"/>
      </w:rPr>
      <w:t>19</w:t>
    </w:r>
    <w:r>
      <w:rPr>
        <w:rFonts w:eastAsia="Times New Roman" w:cs="Calibri"/>
        <w:i/>
        <w:iCs/>
        <w:sz w:val="20"/>
        <w:szCs w:val="20"/>
        <w:lang w:val="en-US" w:eastAsia="en-GB"/>
      </w:rPr>
      <w:t xml:space="preserve"> </w:t>
    </w:r>
    <w:r w:rsidR="00F676A4">
      <w:rPr>
        <w:rFonts w:eastAsia="Times New Roman" w:cs="Calibri"/>
        <w:i/>
        <w:iCs/>
        <w:sz w:val="20"/>
        <w:szCs w:val="20"/>
        <w:lang w:val="en-US" w:eastAsia="en-GB"/>
      </w:rPr>
      <w:t>January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F676A4">
      <w:rPr>
        <w:rFonts w:eastAsia="Times New Roman" w:cs="Calibri"/>
        <w:i/>
        <w:iCs/>
        <w:sz w:val="20"/>
        <w:szCs w:val="20"/>
        <w:lang w:val="en-US" w:eastAsia="en-GB"/>
      </w:rPr>
      <w:t>2021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28"/>
    <w:rsid w:val="00094341"/>
    <w:rsid w:val="001C79CD"/>
    <w:rsid w:val="002D6B8B"/>
    <w:rsid w:val="002F204E"/>
    <w:rsid w:val="003962CA"/>
    <w:rsid w:val="003A4EB5"/>
    <w:rsid w:val="003C53A5"/>
    <w:rsid w:val="004B1383"/>
    <w:rsid w:val="004D35B8"/>
    <w:rsid w:val="00525550"/>
    <w:rsid w:val="0056778C"/>
    <w:rsid w:val="00CF4628"/>
    <w:rsid w:val="00E0711F"/>
    <w:rsid w:val="00ED0FE9"/>
    <w:rsid w:val="00EE331C"/>
    <w:rsid w:val="00F6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233253"/>
  <w15:docId w15:val="{8AF796BC-9B54-2847-9ED1-42197962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4939D0"/>
    <w:rPr>
      <w:sz w:val="20"/>
      <w:szCs w:val="20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4939D0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Carpredefinitoparagrafo"/>
    <w:uiPriority w:val="99"/>
    <w:unhideWhenUsed/>
    <w:rsid w:val="004939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4939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A13F4D"/>
    <w:rPr>
      <w:color w:val="954F72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15CD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15CD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A1203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bCs w:val="0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Noto Sans Devanagari"/>
    </w:rPr>
  </w:style>
  <w:style w:type="paragraph" w:styleId="Paragrafoelenco">
    <w:name w:val="List Paragraph"/>
    <w:basedOn w:val="Normale"/>
    <w:uiPriority w:val="34"/>
    <w:qFormat/>
    <w:rsid w:val="00E94CE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939D0"/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AD7D88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A1203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255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esu.ulg.ac.be/file/20201215075555_Dual-Use-RECAST-final-agreement-18-Nov-2020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uropa.eu/citizens-initiative/initiatives/details/2021/000001_e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Vella</dc:creator>
  <dc:description/>
  <cp:lastModifiedBy>E. Caponetti</cp:lastModifiedBy>
  <cp:revision>3</cp:revision>
  <cp:lastPrinted>2020-11-04T10:41:00Z</cp:lastPrinted>
  <dcterms:created xsi:type="dcterms:W3CDTF">2021-01-19T13:28:00Z</dcterms:created>
  <dcterms:modified xsi:type="dcterms:W3CDTF">2021-01-20T11:37:00Z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