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11708" w14:textId="06876A28" w:rsidR="0030270D" w:rsidRPr="004E2BC3" w:rsidRDefault="004E2BC3" w:rsidP="0030270D">
      <w:pPr>
        <w:jc w:val="both"/>
        <w:rPr>
          <w:lang w:val="en-US"/>
        </w:rPr>
      </w:pPr>
      <w:r w:rsidRPr="004E2BC3">
        <w:rPr>
          <w:lang w:val="en-US"/>
        </w:rPr>
        <w:t>On 1</w:t>
      </w:r>
      <w:r>
        <w:rPr>
          <w:lang w:val="en-US"/>
        </w:rPr>
        <w:t xml:space="preserve">5 January 2021, the Council adopted the </w:t>
      </w:r>
      <w:r w:rsidR="0030270D">
        <w:t>Decision (CFSP) 2021/38 establishing a common approach on the elements of end-user certificates in the context of the export of small arms and light weapons</w:t>
      </w:r>
      <w:r w:rsidRPr="004E2BC3">
        <w:rPr>
          <w:lang w:val="en-US"/>
        </w:rPr>
        <w:t xml:space="preserve"> </w:t>
      </w:r>
      <w:r>
        <w:rPr>
          <w:lang w:val="en-US"/>
        </w:rPr>
        <w:t>(SALW)</w:t>
      </w:r>
      <w:r w:rsidR="0030270D">
        <w:t xml:space="preserve"> and their ammunition</w:t>
      </w:r>
      <w:r w:rsidRPr="004E2BC3">
        <w:rPr>
          <w:lang w:val="en-US"/>
        </w:rPr>
        <w:t>.</w:t>
      </w:r>
    </w:p>
    <w:p w14:paraId="6608EED4" w14:textId="77777777" w:rsidR="0030270D" w:rsidRDefault="0030270D" w:rsidP="0030270D">
      <w:pPr>
        <w:jc w:val="both"/>
      </w:pPr>
    </w:p>
    <w:p w14:paraId="0F3193EC" w14:textId="0B84B78C" w:rsidR="004C0FF9" w:rsidRPr="004C0FF9" w:rsidRDefault="004C0FF9" w:rsidP="0030270D">
      <w:pPr>
        <w:jc w:val="both"/>
        <w:rPr>
          <w:lang w:val="nl-NL"/>
        </w:rPr>
      </w:pPr>
      <w:r>
        <w:t xml:space="preserve">In accordance with </w:t>
      </w:r>
      <w:r>
        <w:rPr>
          <w:lang w:val="nl-NL"/>
        </w:rPr>
        <w:t>:</w:t>
      </w:r>
    </w:p>
    <w:p w14:paraId="72B6DC29" w14:textId="77777777" w:rsidR="004C0FF9" w:rsidRDefault="004C0FF9" w:rsidP="0030270D">
      <w:pPr>
        <w:jc w:val="both"/>
      </w:pPr>
    </w:p>
    <w:p w14:paraId="52B83EF6" w14:textId="76E2CE42" w:rsidR="004C0FF9" w:rsidRDefault="004C0FF9" w:rsidP="004C0FF9">
      <w:pPr>
        <w:pStyle w:val="Paragrafoelenco"/>
        <w:numPr>
          <w:ilvl w:val="0"/>
          <w:numId w:val="1"/>
        </w:numPr>
        <w:jc w:val="both"/>
      </w:pPr>
      <w:r>
        <w:t xml:space="preserve">United Nations Programme of Action to Prevent, Combat and Eradicate the Illicit Trade in </w:t>
      </w:r>
      <w:r w:rsidRPr="004C0FF9">
        <w:rPr>
          <w:lang w:val="en-US"/>
        </w:rPr>
        <w:t>SALW</w:t>
      </w:r>
      <w:r>
        <w:t xml:space="preserve"> in All Its Aspects (</w:t>
      </w:r>
      <w:r w:rsidRPr="004C0FF9">
        <w:rPr>
          <w:b/>
          <w:bCs/>
        </w:rPr>
        <w:t>UNPoA</w:t>
      </w:r>
      <w:r>
        <w:t>, 20 July 2001)</w:t>
      </w:r>
      <w:r w:rsidRPr="004C0FF9">
        <w:rPr>
          <w:lang w:val="en-US"/>
        </w:rPr>
        <w:t>;</w:t>
      </w:r>
    </w:p>
    <w:p w14:paraId="180D684F" w14:textId="506CB63D" w:rsidR="004C0FF9" w:rsidRDefault="004C0FF9" w:rsidP="004C0FF9">
      <w:pPr>
        <w:pStyle w:val="Paragrafoelenco"/>
        <w:numPr>
          <w:ilvl w:val="0"/>
          <w:numId w:val="1"/>
        </w:numPr>
        <w:jc w:val="both"/>
      </w:pPr>
      <w:r>
        <w:t>Arms Trade Treaty (</w:t>
      </w:r>
      <w:r w:rsidRPr="004C0FF9">
        <w:rPr>
          <w:b/>
          <w:bCs/>
          <w:lang w:val="en-US"/>
        </w:rPr>
        <w:t>ATT</w:t>
      </w:r>
      <w:r w:rsidRPr="004C0FF9">
        <w:rPr>
          <w:lang w:val="en-US"/>
        </w:rPr>
        <w:t xml:space="preserve">, </w:t>
      </w:r>
      <w:r>
        <w:t>adopted by the UN General Assembly on 2 April 2013)</w:t>
      </w:r>
      <w:r w:rsidRPr="004C0FF9">
        <w:rPr>
          <w:lang w:val="en-US"/>
        </w:rPr>
        <w:t>;</w:t>
      </w:r>
    </w:p>
    <w:p w14:paraId="5C6DBC48" w14:textId="4FC9CB2F" w:rsidR="004C0FF9" w:rsidRDefault="004C0FF9" w:rsidP="004C0FF9">
      <w:pPr>
        <w:pStyle w:val="Paragrafoelenco"/>
        <w:numPr>
          <w:ilvl w:val="0"/>
          <w:numId w:val="1"/>
        </w:numPr>
        <w:jc w:val="both"/>
        <w:rPr>
          <w:lang w:val="en-US"/>
        </w:rPr>
      </w:pPr>
      <w:r w:rsidRPr="004C0FF9">
        <w:rPr>
          <w:b/>
          <w:bCs/>
        </w:rPr>
        <w:t>Sustainable Development Goal 16.4</w:t>
      </w:r>
      <w:r>
        <w:t xml:space="preserve"> of the UN 2030 Agenda for Sustainable Development (2015)</w:t>
      </w:r>
      <w:r>
        <w:rPr>
          <w:lang w:val="en-US"/>
        </w:rPr>
        <w:t>;</w:t>
      </w:r>
    </w:p>
    <w:p w14:paraId="507C8976" w14:textId="77777777" w:rsidR="004C0FF9" w:rsidRPr="004C0FF9" w:rsidRDefault="004C0FF9" w:rsidP="004C0FF9">
      <w:pPr>
        <w:jc w:val="both"/>
        <w:rPr>
          <w:lang w:val="en-US"/>
        </w:rPr>
      </w:pPr>
    </w:p>
    <w:p w14:paraId="2C59184E" w14:textId="22B80D1B" w:rsidR="0030270D" w:rsidRPr="00460E14" w:rsidRDefault="004C0FF9" w:rsidP="0030270D">
      <w:pPr>
        <w:jc w:val="both"/>
        <w:rPr>
          <w:lang w:val="en-US"/>
        </w:rPr>
      </w:pPr>
      <w:r w:rsidRPr="004C0FF9">
        <w:rPr>
          <w:lang w:val="en-US"/>
        </w:rPr>
        <w:t>t</w:t>
      </w:r>
      <w:r w:rsidR="004E2BC3" w:rsidRPr="004C0FF9">
        <w:rPr>
          <w:lang w:val="en-US"/>
        </w:rPr>
        <w:t>his decision follows t</w:t>
      </w:r>
      <w:r w:rsidR="0030270D">
        <w:t xml:space="preserve">he </w:t>
      </w:r>
      <w:r w:rsidRPr="004C0FF9">
        <w:rPr>
          <w:lang w:val="en-US"/>
        </w:rPr>
        <w:t xml:space="preserve">Council </w:t>
      </w:r>
      <w:r w:rsidR="0030270D">
        <w:t xml:space="preserve">conclusions on an </w:t>
      </w:r>
      <w:r w:rsidR="0030270D" w:rsidRPr="004C0FF9">
        <w:rPr>
          <w:b/>
          <w:bCs/>
        </w:rPr>
        <w:t xml:space="preserve">EU position </w:t>
      </w:r>
      <w:r w:rsidRPr="004C0FF9">
        <w:rPr>
          <w:b/>
          <w:bCs/>
          <w:lang w:val="en-US"/>
        </w:rPr>
        <w:t>for the Third Review Conference</w:t>
      </w:r>
      <w:r w:rsidRPr="004C0FF9">
        <w:rPr>
          <w:b/>
          <w:bCs/>
        </w:rPr>
        <w:t xml:space="preserve"> </w:t>
      </w:r>
      <w:r w:rsidRPr="004C0FF9">
        <w:rPr>
          <w:b/>
          <w:bCs/>
          <w:lang w:val="en-US"/>
        </w:rPr>
        <w:t xml:space="preserve">to review the implementation </w:t>
      </w:r>
      <w:r w:rsidRPr="004C0FF9">
        <w:rPr>
          <w:b/>
          <w:bCs/>
          <w:lang w:val="en-US"/>
        </w:rPr>
        <w:t xml:space="preserve">of the </w:t>
      </w:r>
      <w:proofErr w:type="spellStart"/>
      <w:r w:rsidRPr="004C0FF9">
        <w:rPr>
          <w:b/>
          <w:bCs/>
          <w:lang w:val="en-US"/>
        </w:rPr>
        <w:t>U</w:t>
      </w:r>
      <w:r w:rsidRPr="004C0FF9">
        <w:rPr>
          <w:b/>
          <w:bCs/>
          <w:lang w:val="en-US"/>
        </w:rPr>
        <w:t>NPoA</w:t>
      </w:r>
      <w:proofErr w:type="spellEnd"/>
      <w:r w:rsidRPr="004C0FF9">
        <w:rPr>
          <w:lang w:val="en-US"/>
        </w:rPr>
        <w:t xml:space="preserve">. </w:t>
      </w:r>
      <w:r>
        <w:rPr>
          <w:lang w:val="en-US"/>
        </w:rPr>
        <w:t>A</w:t>
      </w:r>
      <w:r w:rsidR="0030270D">
        <w:t>dopted on 28 May 2018</w:t>
      </w:r>
      <w:r w:rsidR="000A6DA7" w:rsidRPr="000A6DA7">
        <w:rPr>
          <w:lang w:val="en-US"/>
        </w:rPr>
        <w:t>,</w:t>
      </w:r>
      <w:r w:rsidR="00460E14" w:rsidRPr="00460E14">
        <w:rPr>
          <w:lang w:val="en-US"/>
        </w:rPr>
        <w:t xml:space="preserve"> </w:t>
      </w:r>
      <w:r>
        <w:rPr>
          <w:lang w:val="en-US"/>
        </w:rPr>
        <w:t>these conclusions</w:t>
      </w:r>
      <w:r w:rsidR="00460E14" w:rsidRPr="00460E14">
        <w:rPr>
          <w:lang w:val="en-US"/>
        </w:rPr>
        <w:t xml:space="preserve"> </w:t>
      </w:r>
      <w:r w:rsidR="0030270D">
        <w:t xml:space="preserve">call for the promotion of the application of end-user certificates in the context of the control of SALW exports. </w:t>
      </w:r>
    </w:p>
    <w:p w14:paraId="2E4C6404" w14:textId="589CD190" w:rsidR="0030270D" w:rsidRPr="00FD4C58" w:rsidRDefault="00A0184E" w:rsidP="0030270D">
      <w:pPr>
        <w:jc w:val="both"/>
        <w:rPr>
          <w:lang w:val="en-US"/>
        </w:rPr>
      </w:pPr>
      <w:r w:rsidRPr="00A0184E">
        <w:rPr>
          <w:lang w:val="en-US"/>
        </w:rPr>
        <w:t>S</w:t>
      </w:r>
      <w:r w:rsidRPr="00A0184E">
        <w:t>uccessively</w:t>
      </w:r>
      <w:r w:rsidRPr="00A0184E">
        <w:rPr>
          <w:lang w:val="en-US"/>
        </w:rPr>
        <w:t>,</w:t>
      </w:r>
      <w:r w:rsidRPr="00A0184E">
        <w:t xml:space="preserve"> </w:t>
      </w:r>
      <w:proofErr w:type="spellStart"/>
      <w:r w:rsidRPr="00A0184E">
        <w:rPr>
          <w:lang w:val="en-US"/>
        </w:rPr>
        <w:t>i</w:t>
      </w:r>
      <w:proofErr w:type="spellEnd"/>
      <w:r w:rsidR="0030270D">
        <w:t xml:space="preserve">n the </w:t>
      </w:r>
      <w:r w:rsidR="0030270D" w:rsidRPr="004C0FF9">
        <w:rPr>
          <w:b/>
          <w:bCs/>
        </w:rPr>
        <w:t xml:space="preserve">EU Strategy against illicit firearms, </w:t>
      </w:r>
      <w:r w:rsidR="004C0FF9" w:rsidRPr="004C0FF9">
        <w:rPr>
          <w:b/>
          <w:bCs/>
          <w:lang w:val="en-US"/>
        </w:rPr>
        <w:t>SALW</w:t>
      </w:r>
      <w:r w:rsidR="0030270D" w:rsidRPr="004C0FF9">
        <w:rPr>
          <w:b/>
          <w:bCs/>
        </w:rPr>
        <w:t xml:space="preserve"> and their ammunition</w:t>
      </w:r>
      <w:r w:rsidR="0030270D">
        <w:t xml:space="preserve"> </w:t>
      </w:r>
      <w:r w:rsidR="000A6DA7" w:rsidRPr="000A6DA7">
        <w:rPr>
          <w:lang w:val="en-US"/>
        </w:rPr>
        <w:t>(</w:t>
      </w:r>
      <w:r w:rsidR="0030270D">
        <w:t>19 November 2018</w:t>
      </w:r>
      <w:r w:rsidR="000A6DA7" w:rsidRPr="000A6DA7">
        <w:rPr>
          <w:lang w:val="en-US"/>
        </w:rPr>
        <w:t>)</w:t>
      </w:r>
      <w:r w:rsidR="0030270D">
        <w:t>, the Council commits to considering a decision on end-user certificates for SALW exports, taking account of the work of the Organization for Security and Cooperation in Europe in this regard</w:t>
      </w:r>
      <w:r w:rsidR="00FD4C58" w:rsidRPr="00FD4C58">
        <w:rPr>
          <w:lang w:val="en-US"/>
        </w:rPr>
        <w:t>, and it confirms</w:t>
      </w:r>
      <w:r w:rsidR="00FD4C58">
        <w:rPr>
          <w:lang w:val="en-US"/>
        </w:rPr>
        <w:t xml:space="preserve"> </w:t>
      </w:r>
      <w:r w:rsidR="000A6DA7">
        <w:rPr>
          <w:lang w:val="en-US"/>
        </w:rPr>
        <w:t>this</w:t>
      </w:r>
      <w:r w:rsidR="00FD4C58">
        <w:rPr>
          <w:lang w:val="en-US"/>
        </w:rPr>
        <w:t xml:space="preserve"> commitment in</w:t>
      </w:r>
      <w:r w:rsidR="0030270D">
        <w:t xml:space="preserve"> its </w:t>
      </w:r>
      <w:r w:rsidR="000A6DA7">
        <w:rPr>
          <w:b/>
          <w:bCs/>
          <w:lang w:val="en-US"/>
        </w:rPr>
        <w:t>c</w:t>
      </w:r>
      <w:r w:rsidR="0030270D" w:rsidRPr="000A6DA7">
        <w:rPr>
          <w:b/>
          <w:bCs/>
        </w:rPr>
        <w:t>onclusions of 16 September 2019 relating to the review of Council Common Position 2008/944/CFSP</w:t>
      </w:r>
      <w:r w:rsidR="00FD4C58" w:rsidRPr="00FD4C58">
        <w:rPr>
          <w:lang w:val="en-US"/>
        </w:rPr>
        <w:t>.</w:t>
      </w:r>
    </w:p>
    <w:p w14:paraId="43A5B948" w14:textId="77777777" w:rsidR="0030270D" w:rsidRDefault="0030270D" w:rsidP="0030270D">
      <w:pPr>
        <w:jc w:val="both"/>
      </w:pPr>
    </w:p>
    <w:p w14:paraId="71A60C34" w14:textId="3D5ED308" w:rsidR="0030270D" w:rsidRDefault="0030270D" w:rsidP="0030270D">
      <w:pPr>
        <w:jc w:val="both"/>
      </w:pPr>
    </w:p>
    <w:p w14:paraId="79D29C5D" w14:textId="782FF143" w:rsidR="00A0184E" w:rsidRPr="00A0184E" w:rsidRDefault="00A0184E" w:rsidP="0030270D">
      <w:pPr>
        <w:jc w:val="both"/>
        <w:rPr>
          <w:lang w:val="en-US"/>
        </w:rPr>
      </w:pPr>
      <w:r w:rsidRPr="00A0184E">
        <w:rPr>
          <w:lang w:val="en-US"/>
        </w:rPr>
        <w:t>Some of the major h</w:t>
      </w:r>
      <w:r>
        <w:rPr>
          <w:lang w:val="en-US"/>
        </w:rPr>
        <w:t xml:space="preserve">ighlights of the </w:t>
      </w:r>
      <w:r w:rsidRPr="00A0184E">
        <w:rPr>
          <w:lang w:val="en-US"/>
        </w:rPr>
        <w:t>agreed common elements for end-user certificates</w:t>
      </w:r>
      <w:r w:rsidRPr="00A0184E">
        <w:rPr>
          <w:lang w:val="en-US"/>
        </w:rPr>
        <w:t xml:space="preserve"> </w:t>
      </w:r>
      <w:r>
        <w:rPr>
          <w:lang w:val="en-US"/>
        </w:rPr>
        <w:t>can be found here below.</w:t>
      </w:r>
    </w:p>
    <w:p w14:paraId="7E37CA74" w14:textId="62479691" w:rsidR="00A0184E" w:rsidRDefault="00A0184E" w:rsidP="0030270D">
      <w:pPr>
        <w:jc w:val="both"/>
      </w:pPr>
    </w:p>
    <w:p w14:paraId="6F6822FF" w14:textId="77777777" w:rsidR="00A0184E" w:rsidRDefault="00A0184E" w:rsidP="0030270D">
      <w:pPr>
        <w:jc w:val="both"/>
      </w:pPr>
    </w:p>
    <w:p w14:paraId="018FD185" w14:textId="540E783B" w:rsidR="00944646" w:rsidRPr="00944646" w:rsidRDefault="00944646" w:rsidP="0030270D">
      <w:pPr>
        <w:jc w:val="both"/>
        <w:rPr>
          <w:lang w:val="en-US"/>
        </w:rPr>
      </w:pPr>
      <w:r w:rsidRPr="00944646">
        <w:rPr>
          <w:lang w:val="en-US"/>
        </w:rPr>
        <w:t xml:space="preserve">The Council </w:t>
      </w:r>
      <w:r>
        <w:t>Decision (CFSP) 2021/38</w:t>
      </w:r>
      <w:r w:rsidRPr="00944646">
        <w:rPr>
          <w:lang w:val="en-US"/>
        </w:rPr>
        <w:t xml:space="preserve"> makes the </w:t>
      </w:r>
      <w:r w:rsidRPr="00804719">
        <w:rPr>
          <w:b/>
          <w:bCs/>
          <w:lang w:val="en-US"/>
        </w:rPr>
        <w:t>authorization</w:t>
      </w:r>
      <w:r>
        <w:rPr>
          <w:lang w:val="en-US"/>
        </w:rPr>
        <w:t xml:space="preserve"> </w:t>
      </w:r>
      <w:r w:rsidR="00804719" w:rsidRPr="00804719">
        <w:rPr>
          <w:lang w:val="en-US"/>
        </w:rPr>
        <w:t>by a Member State</w:t>
      </w:r>
      <w:r w:rsidR="00A0184E">
        <w:rPr>
          <w:lang w:val="en-US"/>
        </w:rPr>
        <w:t xml:space="preserve"> (MS)</w:t>
      </w:r>
      <w:r w:rsidR="00804719" w:rsidRPr="00804719">
        <w:rPr>
          <w:lang w:val="en-US"/>
        </w:rPr>
        <w:t xml:space="preserve"> of the </w:t>
      </w:r>
      <w:r w:rsidR="00804719" w:rsidRPr="00804719">
        <w:rPr>
          <w:b/>
          <w:bCs/>
          <w:lang w:val="en-US"/>
        </w:rPr>
        <w:t>export of</w:t>
      </w:r>
      <w:r w:rsidR="00804719" w:rsidRPr="00804719">
        <w:rPr>
          <w:b/>
          <w:bCs/>
          <w:lang w:val="en-US"/>
        </w:rPr>
        <w:t xml:space="preserve"> </w:t>
      </w:r>
      <w:r w:rsidR="00804719" w:rsidRPr="00804719">
        <w:rPr>
          <w:b/>
          <w:bCs/>
          <w:lang w:val="en-US"/>
        </w:rPr>
        <w:t>SALW and their components, accessories and ammunition</w:t>
      </w:r>
      <w:r w:rsidR="00804719" w:rsidRPr="00804719">
        <w:rPr>
          <w:lang w:val="en-US"/>
        </w:rPr>
        <w:t>, as set out in the Annex</w:t>
      </w:r>
      <w:r w:rsidR="00804719">
        <w:rPr>
          <w:lang w:val="en-US"/>
        </w:rPr>
        <w:t xml:space="preserve">, </w:t>
      </w:r>
      <w:r w:rsidR="00804719" w:rsidRPr="00804719">
        <w:rPr>
          <w:b/>
          <w:bCs/>
          <w:lang w:val="en-US"/>
        </w:rPr>
        <w:t xml:space="preserve">subject to </w:t>
      </w:r>
      <w:r w:rsidR="00804719" w:rsidRPr="00804719">
        <w:rPr>
          <w:b/>
          <w:bCs/>
          <w:lang w:val="en-US"/>
        </w:rPr>
        <w:t xml:space="preserve">the requirement of </w:t>
      </w:r>
      <w:r w:rsidR="00804719" w:rsidRPr="00804719">
        <w:rPr>
          <w:lang w:val="en-US"/>
        </w:rPr>
        <w:t xml:space="preserve">a "thoroughly checked </w:t>
      </w:r>
      <w:r w:rsidR="00804719" w:rsidRPr="00804719">
        <w:rPr>
          <w:b/>
          <w:bCs/>
          <w:lang w:val="en-US"/>
        </w:rPr>
        <w:t>end-user certificate</w:t>
      </w:r>
      <w:r w:rsidR="00804719" w:rsidRPr="00804719">
        <w:rPr>
          <w:lang w:val="en-US"/>
        </w:rPr>
        <w:t xml:space="preserve"> or appropriate documentation, </w:t>
      </w:r>
      <w:r w:rsidR="00804719" w:rsidRPr="00804719">
        <w:rPr>
          <w:b/>
          <w:bCs/>
          <w:lang w:val="en-US"/>
        </w:rPr>
        <w:t xml:space="preserve">signed by the end-user prior to that </w:t>
      </w:r>
      <w:proofErr w:type="spellStart"/>
      <w:r w:rsidR="00804719" w:rsidRPr="00804719">
        <w:rPr>
          <w:b/>
          <w:bCs/>
          <w:lang w:val="en-US"/>
        </w:rPr>
        <w:t>authorisation</w:t>
      </w:r>
      <w:proofErr w:type="spellEnd"/>
      <w:r w:rsidR="00804719" w:rsidRPr="00804719">
        <w:rPr>
          <w:lang w:val="en-US"/>
        </w:rPr>
        <w:t>"</w:t>
      </w:r>
      <w:r w:rsidR="00804719">
        <w:rPr>
          <w:lang w:val="en-US"/>
        </w:rPr>
        <w:t xml:space="preserve"> (art. 4 of the Decision)</w:t>
      </w:r>
      <w:r w:rsidR="00804719" w:rsidRPr="00804719">
        <w:rPr>
          <w:lang w:val="en-US"/>
        </w:rPr>
        <w:t>.</w:t>
      </w:r>
    </w:p>
    <w:p w14:paraId="0A2F2227" w14:textId="7C98F31E" w:rsidR="0030270D" w:rsidRDefault="0030270D" w:rsidP="0030270D">
      <w:pPr>
        <w:jc w:val="both"/>
      </w:pPr>
    </w:p>
    <w:p w14:paraId="38189F1A" w14:textId="41AE60D0" w:rsidR="00404FE6" w:rsidRDefault="00501C2F" w:rsidP="0030270D">
      <w:pPr>
        <w:jc w:val="both"/>
        <w:rPr>
          <w:b/>
          <w:bCs/>
          <w:lang w:val="en-US"/>
        </w:rPr>
      </w:pPr>
      <w:r w:rsidRPr="00501C2F">
        <w:rPr>
          <w:lang w:val="en-US"/>
        </w:rPr>
        <w:t>A</w:t>
      </w:r>
      <w:r>
        <w:rPr>
          <w:lang w:val="en-US"/>
        </w:rPr>
        <w:t xml:space="preserve">rticle 5 of the Decision establishes the </w:t>
      </w:r>
      <w:r w:rsidRPr="00501C2F">
        <w:rPr>
          <w:b/>
          <w:bCs/>
          <w:lang w:val="en-US"/>
        </w:rPr>
        <w:t>essential elements regarding identification to be included in the end-user certificate</w:t>
      </w:r>
      <w:r w:rsidR="00404FE6">
        <w:rPr>
          <w:lang w:val="en-US"/>
        </w:rPr>
        <w:t xml:space="preserve"> (such as </w:t>
      </w:r>
      <w:r w:rsidRPr="00404FE6">
        <w:rPr>
          <w:lang w:val="en-US"/>
        </w:rPr>
        <w:t>details of the exporter</w:t>
      </w:r>
      <w:r w:rsidR="00404FE6">
        <w:rPr>
          <w:lang w:val="en-US"/>
        </w:rPr>
        <w:t xml:space="preserve">, </w:t>
      </w:r>
      <w:r w:rsidRPr="00404FE6">
        <w:rPr>
          <w:lang w:val="en-US"/>
        </w:rPr>
        <w:t>of the end-user</w:t>
      </w:r>
      <w:r w:rsidR="00404FE6">
        <w:rPr>
          <w:lang w:val="en-US"/>
        </w:rPr>
        <w:t xml:space="preserve">, </w:t>
      </w:r>
      <w:r w:rsidRPr="00404FE6">
        <w:rPr>
          <w:lang w:val="en-US"/>
        </w:rPr>
        <w:t>country of final destination</w:t>
      </w:r>
      <w:r w:rsidR="00404FE6">
        <w:rPr>
          <w:lang w:val="en-US"/>
        </w:rPr>
        <w:t xml:space="preserve">, and </w:t>
      </w:r>
      <w:r w:rsidRPr="00404FE6">
        <w:rPr>
          <w:lang w:val="en-US"/>
        </w:rPr>
        <w:t>description of the goods</w:t>
      </w:r>
      <w:r w:rsidR="00404FE6">
        <w:rPr>
          <w:lang w:val="en-US"/>
        </w:rPr>
        <w:t xml:space="preserve">), and the </w:t>
      </w:r>
      <w:r w:rsidR="00404FE6" w:rsidRPr="00404FE6">
        <w:rPr>
          <w:b/>
          <w:bCs/>
          <w:lang w:val="en-US"/>
        </w:rPr>
        <w:t xml:space="preserve">essential commitments </w:t>
      </w:r>
      <w:r w:rsidR="00404FE6">
        <w:rPr>
          <w:b/>
          <w:bCs/>
          <w:lang w:val="en-US"/>
        </w:rPr>
        <w:t xml:space="preserve">that MS shall require </w:t>
      </w:r>
      <w:r w:rsidR="00404FE6" w:rsidRPr="00404FE6">
        <w:rPr>
          <w:b/>
          <w:bCs/>
          <w:lang w:val="en-US"/>
        </w:rPr>
        <w:t>by the end-user</w:t>
      </w:r>
      <w:r w:rsidR="00404FE6">
        <w:rPr>
          <w:b/>
          <w:bCs/>
          <w:lang w:val="en-US"/>
        </w:rPr>
        <w:t xml:space="preserve"> </w:t>
      </w:r>
      <w:r w:rsidR="00404FE6" w:rsidRPr="00404FE6">
        <w:rPr>
          <w:lang w:val="en-US"/>
        </w:rPr>
        <w:t>(</w:t>
      </w:r>
      <w:proofErr w:type="gramStart"/>
      <w:r w:rsidR="00404FE6">
        <w:rPr>
          <w:lang w:val="en-US"/>
        </w:rPr>
        <w:t>e.g.</w:t>
      </w:r>
      <w:proofErr w:type="gramEnd"/>
      <w:r w:rsidR="00404FE6">
        <w:rPr>
          <w:lang w:val="en-US"/>
        </w:rPr>
        <w:t xml:space="preserve"> </w:t>
      </w:r>
      <w:r w:rsidR="00404FE6" w:rsidRPr="00404FE6">
        <w:rPr>
          <w:lang w:val="en-US"/>
        </w:rPr>
        <w:t>that the goods will not be used for purposes other than the declared use</w:t>
      </w:r>
      <w:r w:rsidR="00404FE6" w:rsidRPr="00404FE6">
        <w:rPr>
          <w:lang w:val="en-US"/>
        </w:rPr>
        <w:t>)</w:t>
      </w:r>
      <w:r w:rsidR="00404FE6">
        <w:rPr>
          <w:lang w:val="en-US"/>
        </w:rPr>
        <w:t>.</w:t>
      </w:r>
    </w:p>
    <w:p w14:paraId="12B3D3E4" w14:textId="5276C41C" w:rsidR="00501C2F" w:rsidRDefault="00E02240" w:rsidP="0030270D">
      <w:pPr>
        <w:jc w:val="both"/>
        <w:rPr>
          <w:lang w:val="en-US"/>
        </w:rPr>
      </w:pPr>
      <w:r>
        <w:rPr>
          <w:lang w:val="en-US"/>
        </w:rPr>
        <w:t>Other</w:t>
      </w:r>
      <w:r w:rsidR="00501C2F" w:rsidRPr="00501C2F">
        <w:rPr>
          <w:lang w:val="en-US"/>
        </w:rPr>
        <w:t xml:space="preserve"> optional elements that the MS might require to be included in the end-user certificate</w:t>
      </w:r>
      <w:r>
        <w:rPr>
          <w:lang w:val="en-US"/>
        </w:rPr>
        <w:t xml:space="preserve"> are listed in article 6</w:t>
      </w:r>
      <w:r w:rsidR="00404FE6">
        <w:rPr>
          <w:lang w:val="en-US"/>
        </w:rPr>
        <w:t>.</w:t>
      </w:r>
    </w:p>
    <w:p w14:paraId="45C8C9D4" w14:textId="42F39757" w:rsidR="00404FE6" w:rsidRDefault="00404FE6" w:rsidP="0030270D">
      <w:pPr>
        <w:jc w:val="both"/>
        <w:rPr>
          <w:lang w:val="en-US"/>
        </w:rPr>
      </w:pPr>
    </w:p>
    <w:p w14:paraId="47A1A216" w14:textId="4A27582F" w:rsidR="00E02240" w:rsidRDefault="00404FE6" w:rsidP="0030270D">
      <w:pPr>
        <w:jc w:val="both"/>
        <w:rPr>
          <w:lang w:val="en-US"/>
        </w:rPr>
      </w:pPr>
      <w:r>
        <w:rPr>
          <w:lang w:val="en-US"/>
        </w:rPr>
        <w:t xml:space="preserve">A requirement of </w:t>
      </w:r>
      <w:r w:rsidRPr="00404FE6">
        <w:rPr>
          <w:b/>
          <w:bCs/>
          <w:lang w:val="en-US"/>
        </w:rPr>
        <w:t xml:space="preserve">record keeping </w:t>
      </w:r>
      <w:r w:rsidRPr="00404FE6">
        <w:rPr>
          <w:b/>
          <w:bCs/>
          <w:lang w:val="en-US"/>
        </w:rPr>
        <w:t>of the issued end-user certificates</w:t>
      </w:r>
      <w:r>
        <w:rPr>
          <w:lang w:val="en-US"/>
        </w:rPr>
        <w:t xml:space="preserve"> is </w:t>
      </w:r>
      <w:r w:rsidR="00E02240">
        <w:rPr>
          <w:lang w:val="en-US"/>
        </w:rPr>
        <w:t>laid down</w:t>
      </w:r>
      <w:r>
        <w:rPr>
          <w:lang w:val="en-US"/>
        </w:rPr>
        <w:t xml:space="preserve"> by article 7 in accordance with national law and practice</w:t>
      </w:r>
      <w:r w:rsidR="00E02240">
        <w:rPr>
          <w:lang w:val="en-US"/>
        </w:rPr>
        <w:t xml:space="preserve">. </w:t>
      </w:r>
    </w:p>
    <w:p w14:paraId="626EDA5D" w14:textId="77777777" w:rsidR="00A0184E" w:rsidRDefault="00A0184E" w:rsidP="0030270D">
      <w:pPr>
        <w:jc w:val="both"/>
        <w:rPr>
          <w:lang w:val="en-US"/>
        </w:rPr>
      </w:pPr>
    </w:p>
    <w:p w14:paraId="6E828F2A" w14:textId="1C68D224" w:rsidR="00E02240" w:rsidRDefault="00E02240" w:rsidP="0030270D">
      <w:pPr>
        <w:jc w:val="both"/>
        <w:rPr>
          <w:lang w:val="en-US"/>
        </w:rPr>
      </w:pPr>
      <w:r>
        <w:rPr>
          <w:lang w:val="en-US"/>
        </w:rPr>
        <w:t xml:space="preserve">While </w:t>
      </w:r>
      <w:r w:rsidRPr="00E02240">
        <w:rPr>
          <w:lang w:val="en-US"/>
        </w:rPr>
        <w:t>in case of identified fraud with, falsification of, or violation of an end-user certificate,</w:t>
      </w:r>
      <w:r>
        <w:rPr>
          <w:lang w:val="en-US"/>
        </w:rPr>
        <w:t xml:space="preserve"> the Decision </w:t>
      </w:r>
      <w:r w:rsidR="00A0184E">
        <w:rPr>
          <w:lang w:val="en-US"/>
        </w:rPr>
        <w:t>envisage</w:t>
      </w:r>
      <w:r>
        <w:rPr>
          <w:lang w:val="en-US"/>
        </w:rPr>
        <w:t xml:space="preserve"> an </w:t>
      </w:r>
      <w:r w:rsidRPr="00E02240">
        <w:rPr>
          <w:b/>
          <w:bCs/>
          <w:lang w:val="en-US"/>
        </w:rPr>
        <w:t xml:space="preserve">information </w:t>
      </w:r>
      <w:r w:rsidRPr="00E02240">
        <w:rPr>
          <w:b/>
          <w:bCs/>
          <w:lang w:val="en-US"/>
        </w:rPr>
        <w:t xml:space="preserve">sharing </w:t>
      </w:r>
      <w:r w:rsidRPr="00E02240">
        <w:rPr>
          <w:b/>
          <w:bCs/>
          <w:lang w:val="en-US"/>
        </w:rPr>
        <w:t xml:space="preserve">with the other </w:t>
      </w:r>
      <w:r w:rsidRPr="00E02240">
        <w:rPr>
          <w:b/>
          <w:bCs/>
          <w:lang w:val="en-US"/>
        </w:rPr>
        <w:t>MS</w:t>
      </w:r>
      <w:r w:rsidRPr="00E02240">
        <w:rPr>
          <w:b/>
          <w:bCs/>
          <w:lang w:val="en-US"/>
        </w:rPr>
        <w:t xml:space="preserve"> via the COARM online system</w:t>
      </w:r>
      <w:r>
        <w:rPr>
          <w:b/>
          <w:bCs/>
          <w:lang w:val="en-US"/>
        </w:rPr>
        <w:t>.</w:t>
      </w:r>
    </w:p>
    <w:p w14:paraId="702CF8A4" w14:textId="77777777" w:rsidR="00501C2F" w:rsidRPr="00501C2F" w:rsidRDefault="00501C2F" w:rsidP="0030270D">
      <w:pPr>
        <w:jc w:val="both"/>
        <w:rPr>
          <w:lang w:val="en-US"/>
        </w:rPr>
      </w:pPr>
    </w:p>
    <w:p w14:paraId="2F9A070D" w14:textId="5CC7FBC2" w:rsidR="004F29D8" w:rsidRDefault="00A0184E" w:rsidP="0030270D">
      <w:pPr>
        <w:jc w:val="both"/>
        <w:rPr>
          <w:lang w:val="en-US"/>
        </w:rPr>
      </w:pPr>
      <w:r w:rsidRPr="00A0184E">
        <w:rPr>
          <w:lang w:val="en-US"/>
        </w:rPr>
        <w:lastRenderedPageBreak/>
        <w:t>Th</w:t>
      </w:r>
      <w:r w:rsidR="004F29D8">
        <w:rPr>
          <w:lang w:val="en-US"/>
        </w:rPr>
        <w:t xml:space="preserve">is Decision, by establishing </w:t>
      </w:r>
      <w:r w:rsidR="004F29D8">
        <w:t>a common Union-wide approach to end-user control for SALW and their ammunition</w:t>
      </w:r>
      <w:r w:rsidR="004F29D8">
        <w:rPr>
          <w:lang w:val="en-US"/>
        </w:rPr>
        <w:t>, could contribute to:</w:t>
      </w:r>
    </w:p>
    <w:p w14:paraId="6FB75A12" w14:textId="22FE0827" w:rsidR="004F29D8" w:rsidRDefault="004F29D8" w:rsidP="004F29D8">
      <w:pPr>
        <w:pStyle w:val="Paragrafoelenco"/>
        <w:numPr>
          <w:ilvl w:val="0"/>
          <w:numId w:val="4"/>
        </w:numPr>
        <w:jc w:val="both"/>
      </w:pPr>
      <w:r w:rsidRPr="004F29D8">
        <w:rPr>
          <w:lang w:val="en-US"/>
        </w:rPr>
        <w:t xml:space="preserve">A </w:t>
      </w:r>
      <w:r w:rsidRPr="004F29D8">
        <w:rPr>
          <w:b/>
          <w:bCs/>
          <w:lang w:val="en-US"/>
        </w:rPr>
        <w:t>reduced</w:t>
      </w:r>
      <w:r w:rsidRPr="004F29D8">
        <w:rPr>
          <w:b/>
          <w:bCs/>
        </w:rPr>
        <w:t xml:space="preserve"> risk of diversion</w:t>
      </w:r>
      <w:r w:rsidRPr="004F29D8">
        <w:rPr>
          <w:lang w:val="en-US"/>
        </w:rPr>
        <w:t>;</w:t>
      </w:r>
      <w:r>
        <w:t xml:space="preserve"> </w:t>
      </w:r>
    </w:p>
    <w:p w14:paraId="7DB3AA26" w14:textId="1285F450" w:rsidR="004F29D8" w:rsidRDefault="004F29D8" w:rsidP="004F29D8">
      <w:pPr>
        <w:pStyle w:val="Paragrafoelenco"/>
        <w:numPr>
          <w:ilvl w:val="0"/>
          <w:numId w:val="4"/>
        </w:numPr>
        <w:jc w:val="both"/>
      </w:pPr>
      <w:r w:rsidRPr="004F29D8">
        <w:rPr>
          <w:lang w:val="en-US"/>
        </w:rPr>
        <w:t xml:space="preserve">The </w:t>
      </w:r>
      <w:r>
        <w:t>creat</w:t>
      </w:r>
      <w:r w:rsidRPr="004F29D8">
        <w:rPr>
          <w:lang w:val="en-US"/>
        </w:rPr>
        <w:t>ion of</w:t>
      </w:r>
      <w:r>
        <w:t xml:space="preserve"> a </w:t>
      </w:r>
      <w:r w:rsidRPr="004F29D8">
        <w:rPr>
          <w:b/>
          <w:bCs/>
        </w:rPr>
        <w:t>level playing field</w:t>
      </w:r>
      <w:r w:rsidRPr="004F29D8">
        <w:rPr>
          <w:lang w:val="en-US"/>
        </w:rPr>
        <w:t>;</w:t>
      </w:r>
    </w:p>
    <w:p w14:paraId="5C4B6AB0" w14:textId="4542DA00" w:rsidR="004F29D8" w:rsidRPr="004F29D8" w:rsidRDefault="004F29D8" w:rsidP="004F29D8">
      <w:pPr>
        <w:pStyle w:val="Paragrafoelenco"/>
        <w:numPr>
          <w:ilvl w:val="0"/>
          <w:numId w:val="4"/>
        </w:numPr>
        <w:jc w:val="both"/>
        <w:rPr>
          <w:lang w:val="en-US"/>
        </w:rPr>
      </w:pPr>
      <w:r w:rsidRPr="004F29D8">
        <w:rPr>
          <w:lang w:val="en-US"/>
        </w:rPr>
        <w:t xml:space="preserve">A </w:t>
      </w:r>
      <w:r w:rsidRPr="004F29D8">
        <w:rPr>
          <w:b/>
          <w:bCs/>
          <w:lang w:val="en-US"/>
        </w:rPr>
        <w:t>better understanding of the</w:t>
      </w:r>
      <w:r w:rsidRPr="004F29D8">
        <w:rPr>
          <w:b/>
          <w:bCs/>
        </w:rPr>
        <w:t xml:space="preserve"> relevant requirements</w:t>
      </w:r>
      <w:r w:rsidRPr="004F29D8">
        <w:rPr>
          <w:lang w:val="en-US"/>
        </w:rPr>
        <w:t xml:space="preserve"> </w:t>
      </w:r>
      <w:r>
        <w:t>for the defence industry and its clients.</w:t>
      </w:r>
    </w:p>
    <w:p w14:paraId="687CA825" w14:textId="682D3202" w:rsidR="00A0184E" w:rsidRDefault="00A0184E" w:rsidP="0030270D">
      <w:pPr>
        <w:jc w:val="both"/>
      </w:pPr>
    </w:p>
    <w:p w14:paraId="4D3DDE00" w14:textId="377B97A3" w:rsidR="0030270D" w:rsidRDefault="0030270D" w:rsidP="0030270D">
      <w:pPr>
        <w:jc w:val="both"/>
        <w:rPr>
          <w:lang w:val="en-US"/>
        </w:rPr>
      </w:pPr>
      <w:r>
        <w:t xml:space="preserve">However, </w:t>
      </w:r>
      <w:r w:rsidR="00A0184E" w:rsidRPr="00A0184E">
        <w:rPr>
          <w:lang w:val="en-US"/>
        </w:rPr>
        <w:t xml:space="preserve">as </w:t>
      </w:r>
      <w:r w:rsidR="00A0184E">
        <w:rPr>
          <w:lang w:val="en-US"/>
        </w:rPr>
        <w:t>stressed in the Council, “</w:t>
      </w:r>
      <w:r w:rsidRPr="004F29D8">
        <w:rPr>
          <w:b/>
          <w:bCs/>
        </w:rPr>
        <w:t>such certificates are not a substitute for a pre-ante full assessment of risk</w:t>
      </w:r>
      <w:r>
        <w:t xml:space="preserve">, </w:t>
      </w:r>
      <w:r w:rsidRPr="004F29D8">
        <w:rPr>
          <w:b/>
          <w:bCs/>
        </w:rPr>
        <w:t>made on a case-by-case basis</w:t>
      </w:r>
      <w:r>
        <w:t xml:space="preserve"> when deciding whether or not to grant an export licence</w:t>
      </w:r>
      <w:r w:rsidR="00A0184E" w:rsidRPr="004F29D8">
        <w:rPr>
          <w:lang w:val="en-US"/>
        </w:rPr>
        <w:t>”</w:t>
      </w:r>
      <w:r w:rsidR="00647B8E" w:rsidRPr="00647B8E">
        <w:rPr>
          <w:lang w:val="en-US"/>
        </w:rPr>
        <w:t>.</w:t>
      </w:r>
    </w:p>
    <w:p w14:paraId="1B752009" w14:textId="1C0BAE5C" w:rsidR="00647B8E" w:rsidRDefault="00647B8E" w:rsidP="0030270D">
      <w:pPr>
        <w:jc w:val="both"/>
        <w:rPr>
          <w:lang w:val="en-US"/>
        </w:rPr>
      </w:pPr>
    </w:p>
    <w:p w14:paraId="072CCD34" w14:textId="77777777" w:rsidR="00647B8E" w:rsidRDefault="00647B8E" w:rsidP="0030270D">
      <w:pPr>
        <w:jc w:val="both"/>
        <w:rPr>
          <w:lang w:val="en-US"/>
        </w:rPr>
      </w:pPr>
    </w:p>
    <w:p w14:paraId="6BF574D1" w14:textId="315BB158" w:rsidR="00647B8E" w:rsidRDefault="00647B8E" w:rsidP="0030270D">
      <w:pPr>
        <w:jc w:val="both"/>
        <w:rPr>
          <w:lang w:val="en-US"/>
        </w:rPr>
      </w:pPr>
      <w:r>
        <w:rPr>
          <w:lang w:val="en-US"/>
        </w:rPr>
        <w:t>For further information, please consult the following link:</w:t>
      </w:r>
    </w:p>
    <w:p w14:paraId="25AF4401" w14:textId="34B843BE" w:rsidR="00647B8E" w:rsidRPr="00647B8E" w:rsidRDefault="00647B8E" w:rsidP="0030270D">
      <w:pPr>
        <w:jc w:val="both"/>
        <w:rPr>
          <w:lang w:val="en-US"/>
        </w:rPr>
      </w:pPr>
      <w:hyperlink r:id="rId7" w:history="1">
        <w:r w:rsidRPr="006262E4">
          <w:rPr>
            <w:rStyle w:val="Collegamentoipertestuale"/>
            <w:lang w:val="en-US"/>
          </w:rPr>
          <w:t>https://eur-lex.europa.eu/legal-content/EN/TXT/PDF/?uri=CELEX:32021D0038&amp;from=EN</w:t>
        </w:r>
      </w:hyperlink>
      <w:r>
        <w:rPr>
          <w:lang w:val="en-US"/>
        </w:rPr>
        <w:t xml:space="preserve"> </w:t>
      </w:r>
    </w:p>
    <w:p w14:paraId="597A89CE" w14:textId="77777777" w:rsidR="0030270D" w:rsidRDefault="0030270D" w:rsidP="0030270D">
      <w:pPr>
        <w:jc w:val="both"/>
      </w:pPr>
    </w:p>
    <w:p w14:paraId="47F83C55" w14:textId="5DDB4C0C" w:rsidR="00934A71" w:rsidRDefault="00934A71" w:rsidP="0030270D">
      <w:pPr>
        <w:jc w:val="both"/>
      </w:pPr>
    </w:p>
    <w:sectPr w:rsidR="00934A71">
      <w:headerReference w:type="default" r:id="rId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C4BE7" w14:textId="77777777" w:rsidR="00A82B7C" w:rsidRDefault="00A82B7C">
      <w:r>
        <w:separator/>
      </w:r>
    </w:p>
  </w:endnote>
  <w:endnote w:type="continuationSeparator" w:id="0">
    <w:p w14:paraId="2B86B886" w14:textId="77777777" w:rsidR="00A82B7C" w:rsidRDefault="00A82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0CC27" w14:textId="77777777" w:rsidR="00A82B7C" w:rsidRDefault="00A82B7C">
      <w:r>
        <w:separator/>
      </w:r>
    </w:p>
  </w:footnote>
  <w:footnote w:type="continuationSeparator" w:id="0">
    <w:p w14:paraId="7935EA20" w14:textId="77777777" w:rsidR="00A82B7C" w:rsidRDefault="00A82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4ED8D" w14:textId="35FEB385" w:rsidR="00934A71" w:rsidRDefault="00A82B7C">
    <w:pPr>
      <w:spacing w:beforeAutospacing="1" w:afterAutospacing="1"/>
      <w:rPr>
        <w:rFonts w:ascii="Times New Roman" w:eastAsia="Times New Roman" w:hAnsi="Times New Roman" w:cs="Times New Roman"/>
        <w:i/>
        <w:iCs/>
        <w:sz w:val="20"/>
        <w:szCs w:val="20"/>
        <w:lang w:eastAsia="en-GB"/>
      </w:rPr>
    </w:pPr>
    <w:r>
      <w:rPr>
        <w:noProof/>
      </w:rPr>
      <w:drawing>
        <wp:anchor distT="0" distB="1270" distL="114300" distR="114300" simplePos="0" relativeHeight="2" behindDoc="1" locked="0" layoutInCell="1" allowOverlap="1" wp14:anchorId="5255C17C" wp14:editId="3EECA25D">
          <wp:simplePos x="0" y="0"/>
          <wp:positionH relativeFrom="column">
            <wp:posOffset>4940935</wp:posOffset>
          </wp:positionH>
          <wp:positionV relativeFrom="paragraph">
            <wp:posOffset>-330200</wp:posOffset>
          </wp:positionV>
          <wp:extent cx="780415" cy="558165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58" t="29476" r="31027" b="52285"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70652A">
      <w:rPr>
        <w:rFonts w:eastAsia="Times New Roman" w:cs="Calibri"/>
        <w:i/>
        <w:iCs/>
        <w:sz w:val="20"/>
        <w:szCs w:val="20"/>
        <w:lang w:val="en-US" w:eastAsia="en-GB"/>
      </w:rPr>
      <w:t xml:space="preserve">Enzo </w:t>
    </w:r>
    <w:proofErr w:type="spellStart"/>
    <w:r w:rsidR="0070652A">
      <w:rPr>
        <w:rFonts w:eastAsia="Times New Roman" w:cs="Calibri"/>
        <w:i/>
        <w:iCs/>
        <w:sz w:val="20"/>
        <w:szCs w:val="20"/>
        <w:lang w:val="en-US" w:eastAsia="en-GB"/>
      </w:rPr>
      <w:t>Caponetti</w:t>
    </w:r>
    <w:proofErr w:type="spellEnd"/>
    <w:r>
      <w:rPr>
        <w:rFonts w:eastAsia="Times New Roman" w:cs="Calibri"/>
        <w:i/>
        <w:iCs/>
        <w:sz w:val="20"/>
        <w:szCs w:val="20"/>
        <w:lang w:eastAsia="en-GB"/>
      </w:rPr>
      <w:t xml:space="preserve"> – ESU – </w:t>
    </w:r>
    <w:r w:rsidR="0070652A">
      <w:rPr>
        <w:rFonts w:eastAsia="Times New Roman" w:cs="Calibri"/>
        <w:i/>
        <w:iCs/>
        <w:sz w:val="20"/>
        <w:szCs w:val="20"/>
        <w:lang w:val="en-US" w:eastAsia="en-GB"/>
      </w:rPr>
      <w:t>19</w:t>
    </w:r>
    <w:r>
      <w:rPr>
        <w:rFonts w:eastAsia="Times New Roman" w:cs="Calibri"/>
        <w:i/>
        <w:iCs/>
        <w:sz w:val="20"/>
        <w:szCs w:val="20"/>
        <w:lang w:val="en-US" w:eastAsia="en-GB"/>
      </w:rPr>
      <w:t xml:space="preserve"> </w:t>
    </w:r>
    <w:r w:rsidR="0070652A">
      <w:rPr>
        <w:rFonts w:eastAsia="Times New Roman" w:cs="Calibri"/>
        <w:i/>
        <w:iCs/>
        <w:sz w:val="20"/>
        <w:szCs w:val="20"/>
        <w:lang w:val="en-US" w:eastAsia="en-GB"/>
      </w:rPr>
      <w:t>January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  <w:r w:rsidR="0070652A">
      <w:rPr>
        <w:rFonts w:eastAsia="Times New Roman" w:cs="Calibri"/>
        <w:i/>
        <w:iCs/>
        <w:sz w:val="20"/>
        <w:szCs w:val="20"/>
        <w:lang w:val="en-US" w:eastAsia="en-GB"/>
      </w:rPr>
      <w:t>2021</w:t>
    </w:r>
    <w:r>
      <w:rPr>
        <w:rFonts w:eastAsia="Times New Roman" w:cs="Calibri"/>
        <w:i/>
        <w:iCs/>
        <w:sz w:val="20"/>
        <w:szCs w:val="20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60626"/>
    <w:multiLevelType w:val="hybridMultilevel"/>
    <w:tmpl w:val="94F88E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2E08397A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25D2E"/>
    <w:multiLevelType w:val="hybridMultilevel"/>
    <w:tmpl w:val="BF189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D515C"/>
    <w:multiLevelType w:val="hybridMultilevel"/>
    <w:tmpl w:val="067E6B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677AA"/>
    <w:multiLevelType w:val="hybridMultilevel"/>
    <w:tmpl w:val="1E561D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71"/>
    <w:rsid w:val="000A6DA7"/>
    <w:rsid w:val="0030270D"/>
    <w:rsid w:val="00404FE6"/>
    <w:rsid w:val="00460E14"/>
    <w:rsid w:val="004C0FF9"/>
    <w:rsid w:val="004E2BC3"/>
    <w:rsid w:val="004F29D8"/>
    <w:rsid w:val="00501C2F"/>
    <w:rsid w:val="00647B8E"/>
    <w:rsid w:val="0070652A"/>
    <w:rsid w:val="00804719"/>
    <w:rsid w:val="00934A71"/>
    <w:rsid w:val="00944646"/>
    <w:rsid w:val="00A0184E"/>
    <w:rsid w:val="00A82B7C"/>
    <w:rsid w:val="00E02240"/>
    <w:rsid w:val="00FD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B6104D"/>
  <w15:docId w15:val="{8AF796BC-9B54-2847-9ED1-42197962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4939D0"/>
    <w:rPr>
      <w:sz w:val="20"/>
      <w:szCs w:val="20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4939D0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Carpredefinitoparagrafo"/>
    <w:uiPriority w:val="99"/>
    <w:unhideWhenUsed/>
    <w:rsid w:val="004939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4939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A13F4D"/>
    <w:rPr>
      <w:color w:val="954F72" w:themeColor="followedHyperlink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15CD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15CD2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A1203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b w:val="0"/>
      <w:bCs w:val="0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Noto Sans Devanagari"/>
    </w:rPr>
  </w:style>
  <w:style w:type="paragraph" w:styleId="Paragrafoelenco">
    <w:name w:val="List Paragraph"/>
    <w:basedOn w:val="Normale"/>
    <w:uiPriority w:val="34"/>
    <w:qFormat/>
    <w:rsid w:val="00E94CE5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939D0"/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AD7D88"/>
    <w:pPr>
      <w:spacing w:beforeAutospacing="1" w:afterAutospacing="1"/>
    </w:pPr>
    <w:rPr>
      <w:rFonts w:ascii="Times New Roman" w:eastAsia="Times New Roman" w:hAnsi="Times New Roman" w:cs="Times New Roman"/>
      <w:lang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515CD2"/>
    <w:pPr>
      <w:tabs>
        <w:tab w:val="center" w:pos="4513"/>
        <w:tab w:val="right" w:pos="9026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A1203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647B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ur-lex.europa.eu/legal-content/EN/TXT/PDF/?uri=CELEX:32021D0038&amp;from=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Vella</dc:creator>
  <dc:description/>
  <cp:lastModifiedBy>E. Caponetti</cp:lastModifiedBy>
  <cp:revision>10</cp:revision>
  <cp:lastPrinted>2020-11-04T10:41:00Z</cp:lastPrinted>
  <dcterms:created xsi:type="dcterms:W3CDTF">2020-11-04T10:41:00Z</dcterms:created>
  <dcterms:modified xsi:type="dcterms:W3CDTF">2021-01-19T15:45:00Z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