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F7AA15" w14:textId="491ABC41" w:rsidR="004B5B0A" w:rsidRDefault="007D47E2">
      <w:pPr>
        <w:jc w:val="both"/>
      </w:pPr>
      <w:r w:rsidRPr="007D47E2">
        <w:rPr>
          <w:lang w:val="en-US"/>
        </w:rPr>
        <w:t>S</w:t>
      </w:r>
      <w:r w:rsidRPr="007D47E2">
        <w:t xml:space="preserve">cientific research sometimes </w:t>
      </w:r>
      <w:r w:rsidRPr="007D47E2">
        <w:rPr>
          <w:lang w:val="en-US"/>
        </w:rPr>
        <w:t xml:space="preserve">might </w:t>
      </w:r>
      <w:r w:rsidR="00DE6417">
        <w:rPr>
          <w:lang w:val="en-US"/>
        </w:rPr>
        <w:t xml:space="preserve">also </w:t>
      </w:r>
      <w:r w:rsidR="00291C7E">
        <w:rPr>
          <w:lang w:val="en-US"/>
        </w:rPr>
        <w:t>present</w:t>
      </w:r>
      <w:r w:rsidR="00291C7E" w:rsidRPr="007D47E2">
        <w:rPr>
          <w:lang w:val="en-US"/>
        </w:rPr>
        <w:t xml:space="preserve"> </w:t>
      </w:r>
      <w:r w:rsidRPr="007D47E2">
        <w:rPr>
          <w:lang w:val="en-US"/>
        </w:rPr>
        <w:t>potential</w:t>
      </w:r>
      <w:r w:rsidRPr="007D47E2">
        <w:t xml:space="preserve"> risks of misuse. </w:t>
      </w:r>
      <w:r w:rsidR="004B5B0A" w:rsidRPr="007D47E2">
        <w:t>Making available sensitive</w:t>
      </w:r>
      <w:r w:rsidR="004B5B0A" w:rsidRPr="007D47E2">
        <w:rPr>
          <w:lang w:val="en-US"/>
        </w:rPr>
        <w:t xml:space="preserve"> (</w:t>
      </w:r>
      <w:r w:rsidR="004B5B0A">
        <w:rPr>
          <w:lang w:val="en-US"/>
        </w:rPr>
        <w:t>dual-use</w:t>
      </w:r>
      <w:r w:rsidR="004B5B0A" w:rsidRPr="007D47E2">
        <w:rPr>
          <w:lang w:val="en-US"/>
        </w:rPr>
        <w:t>)</w:t>
      </w:r>
      <w:r w:rsidR="004B5B0A" w:rsidRPr="007D47E2">
        <w:t xml:space="preserve"> technology</w:t>
      </w:r>
      <w:r w:rsidR="004B5B0A" w:rsidRPr="007D47E2">
        <w:rPr>
          <w:lang w:val="en-US"/>
        </w:rPr>
        <w:t>,</w:t>
      </w:r>
      <w:r w:rsidR="004B5B0A">
        <w:rPr>
          <w:lang w:val="en-US"/>
        </w:rPr>
        <w:t xml:space="preserve"> such as technical data or know-how, </w:t>
      </w:r>
      <w:r w:rsidR="004B5B0A" w:rsidRPr="007D47E2">
        <w:t>could</w:t>
      </w:r>
      <w:r w:rsidR="004B5B0A" w:rsidRPr="007D47E2">
        <w:rPr>
          <w:lang w:val="en-US"/>
        </w:rPr>
        <w:t xml:space="preserve"> </w:t>
      </w:r>
      <w:r w:rsidR="004B5B0A">
        <w:rPr>
          <w:lang w:val="en-US"/>
        </w:rPr>
        <w:t xml:space="preserve">contribute </w:t>
      </w:r>
      <w:r w:rsidR="004B5B0A" w:rsidRPr="007D47E2">
        <w:t>to the development, production or use of biological, chemical, nuclear weapons or their means of delivery</w:t>
      </w:r>
      <w:r w:rsidR="004B5B0A">
        <w:rPr>
          <w:lang w:val="en-US"/>
        </w:rPr>
        <w:t xml:space="preserve"> (e.g. </w:t>
      </w:r>
      <w:r w:rsidR="004B5B0A" w:rsidRPr="004B5B0A">
        <w:rPr>
          <w:lang w:val="en-US"/>
        </w:rPr>
        <w:t>missile</w:t>
      </w:r>
      <w:r w:rsidR="004B5B0A">
        <w:rPr>
          <w:lang w:val="en-US"/>
        </w:rPr>
        <w:t>s or drones)</w:t>
      </w:r>
      <w:r w:rsidR="00DE6417">
        <w:rPr>
          <w:lang w:val="en-US"/>
        </w:rPr>
        <w:t>, as well as human rights violations.</w:t>
      </w:r>
    </w:p>
    <w:p w14:paraId="07A41F69" w14:textId="63E93AD5" w:rsidR="00CF3721" w:rsidRDefault="007D47E2">
      <w:pPr>
        <w:jc w:val="both"/>
      </w:pPr>
      <w:r w:rsidRPr="004A5887">
        <w:t>Academic proliferation has become one the main concern</w:t>
      </w:r>
      <w:r w:rsidR="00291C7E">
        <w:rPr>
          <w:lang w:val="en-GB"/>
        </w:rPr>
        <w:t>s</w:t>
      </w:r>
      <w:r w:rsidRPr="004A5887">
        <w:t xml:space="preserve"> related to </w:t>
      </w:r>
      <w:r w:rsidR="004B5B0A">
        <w:rPr>
          <w:lang w:val="en-US"/>
        </w:rPr>
        <w:t>strategic</w:t>
      </w:r>
      <w:r w:rsidRPr="004A5887">
        <w:t xml:space="preserve"> trade control since the adoption of the EU Regulation 428/2009</w:t>
      </w:r>
      <w:r w:rsidR="007062FC" w:rsidRPr="007062FC">
        <w:rPr>
          <w:lang w:val="en-US"/>
        </w:rPr>
        <w:t>,</w:t>
      </w:r>
      <w:r w:rsidR="003A31B6" w:rsidRPr="00AE5FB1">
        <w:rPr>
          <w:lang w:val="en-US"/>
        </w:rPr>
        <w:t xml:space="preserve"> and </w:t>
      </w:r>
      <w:r w:rsidR="007062FC">
        <w:rPr>
          <w:lang w:val="en-US"/>
        </w:rPr>
        <w:t xml:space="preserve">its recast highlighted the importance to raise awareness among </w:t>
      </w:r>
      <w:r w:rsidR="007062FC" w:rsidRPr="007062FC">
        <w:rPr>
          <w:lang w:val="en-US"/>
        </w:rPr>
        <w:t>the academic and research community</w:t>
      </w:r>
      <w:r w:rsidR="007062FC">
        <w:rPr>
          <w:lang w:val="en-US"/>
        </w:rPr>
        <w:t xml:space="preserve"> (see recital 8)</w:t>
      </w:r>
      <w:r w:rsidRPr="004A5887">
        <w:t xml:space="preserve">. </w:t>
      </w:r>
    </w:p>
    <w:p w14:paraId="0582D8F2" w14:textId="77777777" w:rsidR="00DE6417" w:rsidRDefault="00DE6417">
      <w:pPr>
        <w:jc w:val="both"/>
      </w:pPr>
    </w:p>
    <w:p w14:paraId="7E7F20AD" w14:textId="3EA49DCD" w:rsidR="00F97E01" w:rsidRDefault="006357D1">
      <w:pPr>
        <w:jc w:val="both"/>
        <w:rPr>
          <w:lang w:val="en-US"/>
        </w:rPr>
      </w:pPr>
      <w:r w:rsidRPr="006357D1">
        <w:rPr>
          <w:lang w:val="en-US"/>
        </w:rPr>
        <w:t>T</w:t>
      </w:r>
      <w:r w:rsidR="004A5887" w:rsidRPr="004A5887">
        <w:t>he EU Commission</w:t>
      </w:r>
      <w:r w:rsidRPr="006357D1">
        <w:rPr>
          <w:lang w:val="en-US"/>
        </w:rPr>
        <w:t>,</w:t>
      </w:r>
      <w:r w:rsidR="004A5887" w:rsidRPr="004A5887">
        <w:t xml:space="preserve"> </w:t>
      </w:r>
      <w:r w:rsidRPr="006357D1">
        <w:rPr>
          <w:lang w:val="en-US"/>
        </w:rPr>
        <w:t>with the su</w:t>
      </w:r>
      <w:r>
        <w:rPr>
          <w:lang w:val="en-US"/>
        </w:rPr>
        <w:t>pport of the Member States,</w:t>
      </w:r>
      <w:r w:rsidR="004A5887" w:rsidRPr="004A5887">
        <w:t xml:space="preserve"> ha</w:t>
      </w:r>
      <w:r w:rsidRPr="006357D1">
        <w:rPr>
          <w:lang w:val="en-US"/>
        </w:rPr>
        <w:t>s</w:t>
      </w:r>
      <w:r w:rsidR="004A5887" w:rsidRPr="004A5887">
        <w:t xml:space="preserve"> developed</w:t>
      </w:r>
      <w:r w:rsidR="004B5B0A">
        <w:rPr>
          <w:lang w:val="en-US"/>
        </w:rPr>
        <w:t xml:space="preserve"> a targeted </w:t>
      </w:r>
      <w:r w:rsidR="00291C7E">
        <w:rPr>
          <w:lang w:val="en-US"/>
        </w:rPr>
        <w:t>“</w:t>
      </w:r>
      <w:r w:rsidR="004B5B0A" w:rsidRPr="004B5B0A">
        <w:rPr>
          <w:lang w:val="en-US"/>
        </w:rPr>
        <w:t>EU compliance guidance for research involving dual-use items</w:t>
      </w:r>
      <w:r w:rsidR="00291C7E">
        <w:rPr>
          <w:lang w:val="en-US"/>
        </w:rPr>
        <w:t>”</w:t>
      </w:r>
      <w:r w:rsidR="004B5B0A">
        <w:rPr>
          <w:lang w:val="en-US"/>
        </w:rPr>
        <w:t xml:space="preserve"> </w:t>
      </w:r>
      <w:r w:rsidR="00291C7E">
        <w:rPr>
          <w:lang w:val="en-US"/>
        </w:rPr>
        <w:t xml:space="preserve">which </w:t>
      </w:r>
      <w:r w:rsidR="004B5B0A">
        <w:rPr>
          <w:lang w:val="en-US"/>
        </w:rPr>
        <w:t xml:space="preserve">will be </w:t>
      </w:r>
      <w:r w:rsidR="00291C7E">
        <w:rPr>
          <w:lang w:val="en-US"/>
        </w:rPr>
        <w:t xml:space="preserve">soon </w:t>
      </w:r>
      <w:r w:rsidR="004B5B0A">
        <w:rPr>
          <w:lang w:val="en-US"/>
        </w:rPr>
        <w:t>published</w:t>
      </w:r>
      <w:r w:rsidR="00F667F7">
        <w:rPr>
          <w:lang w:val="en-US"/>
        </w:rPr>
        <w:t>, after having been open to public consultation</w:t>
      </w:r>
      <w:r w:rsidR="004B5B0A">
        <w:rPr>
          <w:lang w:val="en-US"/>
        </w:rPr>
        <w:t>.</w:t>
      </w:r>
    </w:p>
    <w:p w14:paraId="45ED43E2" w14:textId="3A521529" w:rsidR="004B5B0A" w:rsidRDefault="004B5B0A">
      <w:pPr>
        <w:jc w:val="both"/>
        <w:rPr>
          <w:lang w:val="en-US"/>
        </w:rPr>
      </w:pPr>
    </w:p>
    <w:p w14:paraId="5A53EBFE" w14:textId="1EAA351A" w:rsidR="00AA6D90" w:rsidRDefault="003149EC" w:rsidP="003149EC">
      <w:pPr>
        <w:jc w:val="both"/>
        <w:rPr>
          <w:lang w:val="en-US"/>
        </w:rPr>
      </w:pPr>
      <w:r>
        <w:rPr>
          <w:lang w:val="en-US"/>
        </w:rPr>
        <w:t xml:space="preserve">In this context, </w:t>
      </w:r>
      <w:r w:rsidRPr="003149EC">
        <w:rPr>
          <w:lang w:val="en-US"/>
        </w:rPr>
        <w:t>the European Commission Joint Research Centre, in collaboration with Liege University (European Studies Unit), has developed a data-mining tool</w:t>
      </w:r>
      <w:r w:rsidR="00AA6D90">
        <w:rPr>
          <w:lang w:val="en-US"/>
        </w:rPr>
        <w:t xml:space="preserve"> which can provide support to universities and research centres </w:t>
      </w:r>
      <w:r w:rsidR="00054069">
        <w:rPr>
          <w:lang w:val="en-US"/>
        </w:rPr>
        <w:t xml:space="preserve">(but not only) </w:t>
      </w:r>
      <w:r w:rsidR="00AA6D90">
        <w:rPr>
          <w:lang w:val="en-US"/>
        </w:rPr>
        <w:t xml:space="preserve">for </w:t>
      </w:r>
      <w:r w:rsidR="00AA6D90" w:rsidRPr="003149EC">
        <w:rPr>
          <w:lang w:val="en-US"/>
        </w:rPr>
        <w:t>awareness raising and mapping of scientific collaborations</w:t>
      </w:r>
      <w:r w:rsidR="00AA6D90">
        <w:rPr>
          <w:lang w:val="en-US"/>
        </w:rPr>
        <w:t xml:space="preserve">: </w:t>
      </w:r>
      <w:r w:rsidR="00AA6D90" w:rsidRPr="00C50A4F">
        <w:rPr>
          <w:b/>
          <w:bCs/>
          <w:lang w:val="en-US"/>
        </w:rPr>
        <w:t>TIM Dual-Use</w:t>
      </w:r>
      <w:r w:rsidR="00C50A4F">
        <w:rPr>
          <w:lang w:val="en-US"/>
        </w:rPr>
        <w:t>.</w:t>
      </w:r>
    </w:p>
    <w:p w14:paraId="4469AFE8" w14:textId="77777777" w:rsidR="003149EC" w:rsidRPr="003149EC" w:rsidRDefault="003149EC" w:rsidP="003149EC">
      <w:pPr>
        <w:jc w:val="both"/>
        <w:rPr>
          <w:lang w:val="en-US"/>
        </w:rPr>
      </w:pPr>
    </w:p>
    <w:p w14:paraId="61C1EEB0" w14:textId="21B4F07E" w:rsidR="00054069" w:rsidRDefault="00054069" w:rsidP="00054069">
      <w:pPr>
        <w:jc w:val="both"/>
        <w:rPr>
          <w:lang w:val="en-US"/>
        </w:rPr>
      </w:pPr>
      <w:r>
        <w:rPr>
          <w:lang w:val="en-US"/>
        </w:rPr>
        <w:t>R</w:t>
      </w:r>
      <w:r w:rsidR="003149EC" w:rsidRPr="003149EC">
        <w:rPr>
          <w:lang w:val="en-US"/>
        </w:rPr>
        <w:t>etrieving relevant documents from SCOPUS (</w:t>
      </w:r>
      <w:r w:rsidR="00DE6417">
        <w:rPr>
          <w:lang w:val="en-US"/>
        </w:rPr>
        <w:t xml:space="preserve">over 50 million </w:t>
      </w:r>
      <w:r w:rsidR="003149EC" w:rsidRPr="003149EC">
        <w:rPr>
          <w:lang w:val="en-US"/>
        </w:rPr>
        <w:t>scientific abstracts), PATSTAT (</w:t>
      </w:r>
      <w:r w:rsidR="00DE6417">
        <w:rPr>
          <w:lang w:val="en-US"/>
        </w:rPr>
        <w:t>over 25 million international</w:t>
      </w:r>
      <w:r w:rsidR="003149EC" w:rsidRPr="003149EC">
        <w:rPr>
          <w:lang w:val="en-US"/>
        </w:rPr>
        <w:t>-patents</w:t>
      </w:r>
      <w:r w:rsidR="00DE6417">
        <w:rPr>
          <w:lang w:val="en-US"/>
        </w:rPr>
        <w:t xml:space="preserve"> from 90 countries</w:t>
      </w:r>
      <w:r w:rsidR="003149EC" w:rsidRPr="003149EC">
        <w:rPr>
          <w:lang w:val="en-US"/>
        </w:rPr>
        <w:t>) and EU CORDIS (</w:t>
      </w:r>
      <w:r w:rsidR="00DE6417">
        <w:rPr>
          <w:lang w:val="en-US"/>
        </w:rPr>
        <w:t xml:space="preserve">EU-funded </w:t>
      </w:r>
      <w:r w:rsidR="003149EC" w:rsidRPr="003149EC">
        <w:rPr>
          <w:lang w:val="en-US"/>
        </w:rPr>
        <w:t>research projects) databases</w:t>
      </w:r>
      <w:r>
        <w:rPr>
          <w:lang w:val="en-US"/>
        </w:rPr>
        <w:t xml:space="preserve">, on the basis of multiple queries built on </w:t>
      </w:r>
      <w:r w:rsidRPr="00054069">
        <w:rPr>
          <w:lang w:val="en-US"/>
        </w:rPr>
        <w:t>keywords related to dual-use items</w:t>
      </w:r>
      <w:r>
        <w:rPr>
          <w:lang w:val="en-US"/>
        </w:rPr>
        <w:t>, TIM Dual-Use is able to</w:t>
      </w:r>
      <w:r w:rsidRPr="003149EC">
        <w:rPr>
          <w:lang w:val="en-US"/>
        </w:rPr>
        <w:t>, inter alia:</w:t>
      </w:r>
    </w:p>
    <w:p w14:paraId="24490DE9" w14:textId="77777777" w:rsidR="00054069" w:rsidRPr="003149EC" w:rsidRDefault="00054069" w:rsidP="00054069">
      <w:pPr>
        <w:jc w:val="both"/>
        <w:rPr>
          <w:lang w:val="en-US"/>
        </w:rPr>
      </w:pPr>
    </w:p>
    <w:p w14:paraId="68A77BB5" w14:textId="357AD450" w:rsidR="00054069" w:rsidRPr="00DE6417" w:rsidRDefault="00054069" w:rsidP="006357D1">
      <w:pPr>
        <w:pStyle w:val="Paragrafoelenco"/>
        <w:numPr>
          <w:ilvl w:val="0"/>
          <w:numId w:val="2"/>
        </w:numPr>
        <w:jc w:val="both"/>
        <w:rPr>
          <w:lang w:val="en-US"/>
        </w:rPr>
      </w:pPr>
      <w:r w:rsidRPr="00DE6417">
        <w:rPr>
          <w:b/>
          <w:bCs/>
          <w:lang w:val="en-US"/>
        </w:rPr>
        <w:t>Map potential dual-use scientific publications and collaboration networks</w:t>
      </w:r>
      <w:r w:rsidRPr="00DE6417">
        <w:rPr>
          <w:lang w:val="en-US"/>
        </w:rPr>
        <w:t xml:space="preserve"> </w:t>
      </w:r>
      <w:r w:rsidR="00C50A4F" w:rsidRPr="00DE6417">
        <w:rPr>
          <w:lang w:val="en-US"/>
        </w:rPr>
        <w:t xml:space="preserve">of a country or even specific </w:t>
      </w:r>
      <w:r w:rsidRPr="00DE6417">
        <w:rPr>
          <w:lang w:val="en-US"/>
        </w:rPr>
        <w:t xml:space="preserve">companies, universities, </w:t>
      </w:r>
      <w:r w:rsidR="00C50A4F" w:rsidRPr="00DE6417">
        <w:rPr>
          <w:lang w:val="en-US"/>
        </w:rPr>
        <w:t xml:space="preserve">and </w:t>
      </w:r>
      <w:r w:rsidRPr="00DE6417">
        <w:rPr>
          <w:lang w:val="en-US"/>
        </w:rPr>
        <w:t>research institutes;</w:t>
      </w:r>
    </w:p>
    <w:p w14:paraId="7C41B720" w14:textId="442FBFED" w:rsidR="00054069" w:rsidRPr="00DE6417" w:rsidRDefault="00054069" w:rsidP="006357D1">
      <w:pPr>
        <w:pStyle w:val="Paragrafoelenco"/>
        <w:numPr>
          <w:ilvl w:val="0"/>
          <w:numId w:val="2"/>
        </w:numPr>
        <w:jc w:val="both"/>
        <w:rPr>
          <w:lang w:val="en-US"/>
        </w:rPr>
      </w:pPr>
      <w:r w:rsidRPr="00DE6417">
        <w:rPr>
          <w:lang w:val="en-US"/>
        </w:rPr>
        <w:t xml:space="preserve">Identify areas for </w:t>
      </w:r>
      <w:r w:rsidRPr="006357D1">
        <w:rPr>
          <w:b/>
          <w:bCs/>
          <w:lang w:val="en-US"/>
        </w:rPr>
        <w:t>targeted awareness-raising activities</w:t>
      </w:r>
      <w:r w:rsidRPr="00DE6417">
        <w:rPr>
          <w:lang w:val="en-US"/>
        </w:rPr>
        <w:t xml:space="preserve"> </w:t>
      </w:r>
      <w:r w:rsidRPr="006357D1">
        <w:rPr>
          <w:b/>
          <w:bCs/>
          <w:lang w:val="en-US"/>
        </w:rPr>
        <w:t>to</w:t>
      </w:r>
      <w:r w:rsidRPr="00DE6417">
        <w:rPr>
          <w:lang w:val="en-US"/>
        </w:rPr>
        <w:t xml:space="preserve"> </w:t>
      </w:r>
      <w:r w:rsidRPr="006357D1">
        <w:rPr>
          <w:b/>
          <w:bCs/>
          <w:lang w:val="en-US"/>
        </w:rPr>
        <w:t>reinforce internal compliance</w:t>
      </w:r>
      <w:r w:rsidRPr="00DE6417">
        <w:rPr>
          <w:lang w:val="en-US"/>
        </w:rPr>
        <w:t>;</w:t>
      </w:r>
    </w:p>
    <w:p w14:paraId="001B47CE" w14:textId="76E2D025" w:rsidR="00054069" w:rsidRPr="00DE6417" w:rsidRDefault="00054069" w:rsidP="006357D1">
      <w:pPr>
        <w:pStyle w:val="Paragrafoelenco"/>
        <w:numPr>
          <w:ilvl w:val="0"/>
          <w:numId w:val="2"/>
        </w:numPr>
        <w:jc w:val="both"/>
        <w:rPr>
          <w:lang w:val="en-US"/>
        </w:rPr>
      </w:pPr>
      <w:r w:rsidRPr="00DE6417">
        <w:rPr>
          <w:b/>
          <w:bCs/>
          <w:lang w:val="en-US"/>
        </w:rPr>
        <w:t>Monitor emerging technology</w:t>
      </w:r>
      <w:r w:rsidR="00C50A4F" w:rsidRPr="00DE6417">
        <w:rPr>
          <w:lang w:val="en-US"/>
        </w:rPr>
        <w:t xml:space="preserve"> (technological development and trends, as appearing from chronological and geographical developments)</w:t>
      </w:r>
      <w:r w:rsidRPr="00DE6417">
        <w:rPr>
          <w:lang w:val="en-US"/>
        </w:rPr>
        <w:t>;</w:t>
      </w:r>
    </w:p>
    <w:p w14:paraId="7A029A7C" w14:textId="772B2CA1" w:rsidR="004B5B0A" w:rsidRDefault="004B5B0A" w:rsidP="00054069">
      <w:pPr>
        <w:jc w:val="both"/>
        <w:rPr>
          <w:lang w:val="en-US"/>
        </w:rPr>
      </w:pPr>
    </w:p>
    <w:p w14:paraId="4E5C1173" w14:textId="60C29B4B" w:rsidR="00C50A4F" w:rsidRDefault="00F667F7" w:rsidP="00054069">
      <w:pPr>
        <w:jc w:val="both"/>
        <w:rPr>
          <w:lang w:val="en-US"/>
        </w:rPr>
      </w:pPr>
      <w:r>
        <w:rPr>
          <w:lang w:val="en-US"/>
        </w:rPr>
        <w:t xml:space="preserve">The TIM Dual-Use </w:t>
      </w:r>
      <w:r w:rsidR="00C50A4F">
        <w:rPr>
          <w:lang w:val="en-US"/>
        </w:rPr>
        <w:t xml:space="preserve">public platform can be consulted at the following </w:t>
      </w:r>
      <w:r w:rsidR="00DE6417" w:rsidRPr="003149EC">
        <w:rPr>
          <w:lang w:val="en-US"/>
        </w:rPr>
        <w:t>European Commission Joint Research Centre</w:t>
      </w:r>
      <w:r w:rsidR="00DE6417">
        <w:rPr>
          <w:lang w:val="en-US"/>
        </w:rPr>
        <w:t xml:space="preserve">’s </w:t>
      </w:r>
      <w:r w:rsidR="00C50A4F">
        <w:rPr>
          <w:lang w:val="en-US"/>
        </w:rPr>
        <w:t>website:</w:t>
      </w:r>
    </w:p>
    <w:p w14:paraId="54D0D8EA" w14:textId="0FF27BA3" w:rsidR="00C50A4F" w:rsidRDefault="006B7D4D" w:rsidP="00054069">
      <w:pPr>
        <w:jc w:val="both"/>
        <w:rPr>
          <w:lang w:val="en-US"/>
        </w:rPr>
      </w:pPr>
      <w:hyperlink r:id="rId8" w:history="1">
        <w:r w:rsidR="00C50A4F" w:rsidRPr="00005809">
          <w:rPr>
            <w:rStyle w:val="Collegamentoipertestuale"/>
            <w:lang w:val="en-US"/>
          </w:rPr>
          <w:t>https://knowledge4policy.ec.europa.eu/text-mining/tim-dual-use_en</w:t>
        </w:r>
      </w:hyperlink>
      <w:r w:rsidR="00C50A4F">
        <w:rPr>
          <w:lang w:val="en-US"/>
        </w:rPr>
        <w:t xml:space="preserve">. </w:t>
      </w:r>
    </w:p>
    <w:sectPr w:rsidR="00C50A4F">
      <w:headerReference w:type="default" r:id="rId9"/>
      <w:pgSz w:w="11906" w:h="16838"/>
      <w:pgMar w:top="1440" w:right="1440" w:bottom="1440" w:left="1440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86314C" w14:textId="77777777" w:rsidR="006B7D4D" w:rsidRDefault="006B7D4D">
      <w:r>
        <w:separator/>
      </w:r>
    </w:p>
  </w:endnote>
  <w:endnote w:type="continuationSeparator" w:id="0">
    <w:p w14:paraId="0C2F79A7" w14:textId="77777777" w:rsidR="006B7D4D" w:rsidRDefault="006B7D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Liberation Sans">
    <w:altName w:val="Arial"/>
    <w:panose1 w:val="020B0604020202020204"/>
    <w:charset w:val="01"/>
    <w:family w:val="swiss"/>
    <w:pitch w:val="variable"/>
  </w:font>
  <w:font w:name="Noto Sans SC Regular">
    <w:panose1 w:val="020B0604020202020204"/>
    <w:charset w:val="00"/>
    <w:family w:val="roman"/>
    <w:notTrueType/>
    <w:pitch w:val="default"/>
  </w:font>
  <w:font w:name="Noto Sans Devanagari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BA2D17" w14:textId="77777777" w:rsidR="006B7D4D" w:rsidRDefault="006B7D4D">
      <w:r>
        <w:separator/>
      </w:r>
    </w:p>
  </w:footnote>
  <w:footnote w:type="continuationSeparator" w:id="0">
    <w:p w14:paraId="1F8ECDC5" w14:textId="77777777" w:rsidR="006B7D4D" w:rsidRDefault="006B7D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6D5019" w14:textId="6474CD4A" w:rsidR="00F97E01" w:rsidRDefault="00DD5A0B">
    <w:pPr>
      <w:spacing w:beforeAutospacing="1" w:afterAutospacing="1"/>
      <w:rPr>
        <w:rFonts w:ascii="Times New Roman" w:eastAsia="Times New Roman" w:hAnsi="Times New Roman" w:cs="Times New Roman"/>
        <w:i/>
        <w:iCs/>
        <w:sz w:val="20"/>
        <w:szCs w:val="20"/>
        <w:lang w:eastAsia="en-GB"/>
      </w:rPr>
    </w:pPr>
    <w:r>
      <w:rPr>
        <w:noProof/>
        <w:lang w:val="en-GB" w:eastAsia="en-GB"/>
      </w:rPr>
      <w:drawing>
        <wp:anchor distT="0" distB="1270" distL="114300" distR="114300" simplePos="0" relativeHeight="2" behindDoc="1" locked="0" layoutInCell="1" allowOverlap="1" wp14:anchorId="4DC5D53B" wp14:editId="39922288">
          <wp:simplePos x="0" y="0"/>
          <wp:positionH relativeFrom="column">
            <wp:posOffset>4940935</wp:posOffset>
          </wp:positionH>
          <wp:positionV relativeFrom="paragraph">
            <wp:posOffset>-330200</wp:posOffset>
          </wp:positionV>
          <wp:extent cx="780415" cy="558165"/>
          <wp:effectExtent l="0" t="0" r="0" b="0"/>
          <wp:wrapNone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2858" t="29476" r="31027" b="52285"/>
                  <a:stretch>
                    <a:fillRect/>
                  </a:stretch>
                </pic:blipFill>
                <pic:spPr bwMode="auto">
                  <a:xfrm>
                    <a:off x="0" y="0"/>
                    <a:ext cx="780415" cy="5581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Times New Roman" w:cs="Calibri"/>
        <w:i/>
        <w:iCs/>
        <w:sz w:val="20"/>
        <w:szCs w:val="20"/>
        <w:lang w:eastAsia="en-GB"/>
      </w:rPr>
      <w:t xml:space="preserve"> </w:t>
    </w:r>
    <w:r w:rsidR="002F253E" w:rsidRPr="002F253E">
      <w:rPr>
        <w:rFonts w:eastAsia="Times New Roman" w:cs="Calibri"/>
        <w:i/>
        <w:iCs/>
        <w:sz w:val="20"/>
        <w:szCs w:val="20"/>
        <w:lang w:val="en-US" w:eastAsia="en-GB"/>
      </w:rPr>
      <w:t xml:space="preserve">Enzo </w:t>
    </w:r>
    <w:proofErr w:type="spellStart"/>
    <w:r w:rsidR="002F253E" w:rsidRPr="002F253E">
      <w:rPr>
        <w:rFonts w:eastAsia="Times New Roman" w:cs="Calibri"/>
        <w:i/>
        <w:iCs/>
        <w:sz w:val="20"/>
        <w:szCs w:val="20"/>
        <w:lang w:val="en-US" w:eastAsia="en-GB"/>
      </w:rPr>
      <w:t>Caponetti</w:t>
    </w:r>
    <w:proofErr w:type="spellEnd"/>
    <w:r>
      <w:rPr>
        <w:rFonts w:eastAsia="Times New Roman" w:cs="Calibri"/>
        <w:i/>
        <w:iCs/>
        <w:sz w:val="20"/>
        <w:szCs w:val="20"/>
        <w:lang w:eastAsia="en-GB"/>
      </w:rPr>
      <w:t xml:space="preserve">– ESU – </w:t>
    </w:r>
    <w:r w:rsidR="002F253E">
      <w:rPr>
        <w:rFonts w:eastAsia="Times New Roman" w:cs="Calibri"/>
        <w:i/>
        <w:iCs/>
        <w:sz w:val="20"/>
        <w:szCs w:val="20"/>
        <w:lang w:val="en-US" w:eastAsia="en-GB"/>
      </w:rPr>
      <w:t>1</w:t>
    </w:r>
    <w:r w:rsidR="00054069">
      <w:rPr>
        <w:rFonts w:eastAsia="Times New Roman" w:cs="Calibri"/>
        <w:i/>
        <w:iCs/>
        <w:sz w:val="20"/>
        <w:szCs w:val="20"/>
        <w:lang w:val="en-US" w:eastAsia="en-GB"/>
      </w:rPr>
      <w:t>5</w:t>
    </w:r>
    <w:r>
      <w:rPr>
        <w:rFonts w:eastAsia="Times New Roman" w:cs="Calibri"/>
        <w:i/>
        <w:iCs/>
        <w:sz w:val="20"/>
        <w:szCs w:val="20"/>
        <w:lang w:val="en-US" w:eastAsia="en-GB"/>
      </w:rPr>
      <w:t xml:space="preserve"> </w:t>
    </w:r>
    <w:r w:rsidR="002F253E">
      <w:rPr>
        <w:rFonts w:eastAsia="Times New Roman" w:cs="Calibri"/>
        <w:i/>
        <w:iCs/>
        <w:sz w:val="20"/>
        <w:szCs w:val="20"/>
        <w:lang w:val="en-US" w:eastAsia="en-GB"/>
      </w:rPr>
      <w:t>January</w:t>
    </w:r>
    <w:r>
      <w:rPr>
        <w:rFonts w:eastAsia="Times New Roman" w:cs="Calibri"/>
        <w:i/>
        <w:iCs/>
        <w:sz w:val="20"/>
        <w:szCs w:val="20"/>
        <w:lang w:eastAsia="en-GB"/>
      </w:rPr>
      <w:t xml:space="preserve"> </w:t>
    </w:r>
    <w:r w:rsidR="002F253E">
      <w:rPr>
        <w:rFonts w:eastAsia="Times New Roman" w:cs="Calibri"/>
        <w:i/>
        <w:iCs/>
        <w:sz w:val="20"/>
        <w:szCs w:val="20"/>
        <w:lang w:val="en-US" w:eastAsia="en-GB"/>
      </w:rPr>
      <w:t>2021</w:t>
    </w:r>
    <w:r>
      <w:rPr>
        <w:rFonts w:eastAsia="Times New Roman" w:cs="Calibri"/>
        <w:i/>
        <w:iCs/>
        <w:sz w:val="20"/>
        <w:szCs w:val="20"/>
        <w:lang w:eastAsia="en-GB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E61CF2"/>
    <w:multiLevelType w:val="hybridMultilevel"/>
    <w:tmpl w:val="D8640224"/>
    <w:lvl w:ilvl="0" w:tplc="D98460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4C13FB"/>
    <w:multiLevelType w:val="hybridMultilevel"/>
    <w:tmpl w:val="5B985B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7E01"/>
    <w:rsid w:val="00054069"/>
    <w:rsid w:val="001A6A4B"/>
    <w:rsid w:val="00291C7E"/>
    <w:rsid w:val="00295EFD"/>
    <w:rsid w:val="002F253E"/>
    <w:rsid w:val="003149EC"/>
    <w:rsid w:val="003A31B6"/>
    <w:rsid w:val="003A6777"/>
    <w:rsid w:val="004079E4"/>
    <w:rsid w:val="004A5887"/>
    <w:rsid w:val="004B5B0A"/>
    <w:rsid w:val="006357D1"/>
    <w:rsid w:val="006B7D4D"/>
    <w:rsid w:val="006C1BDE"/>
    <w:rsid w:val="007062FC"/>
    <w:rsid w:val="007D47E2"/>
    <w:rsid w:val="00A57942"/>
    <w:rsid w:val="00AA6D90"/>
    <w:rsid w:val="00AE5FB1"/>
    <w:rsid w:val="00C50A4F"/>
    <w:rsid w:val="00CF3721"/>
    <w:rsid w:val="00DD5A0B"/>
    <w:rsid w:val="00DE6417"/>
    <w:rsid w:val="00F667F7"/>
    <w:rsid w:val="00F97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B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EC561B"/>
  <w15:docId w15:val="{250160A8-F5C4-0643-8212-8C6D085D3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qFormat/>
    <w:rsid w:val="004939D0"/>
    <w:rPr>
      <w:sz w:val="20"/>
      <w:szCs w:val="20"/>
    </w:rPr>
  </w:style>
  <w:style w:type="character" w:customStyle="1" w:styleId="FootnoteCharacters">
    <w:name w:val="Footnote Characters"/>
    <w:basedOn w:val="Carpredefinitoparagrafo"/>
    <w:uiPriority w:val="99"/>
    <w:semiHidden/>
    <w:unhideWhenUsed/>
    <w:qFormat/>
    <w:rsid w:val="004939D0"/>
    <w:rPr>
      <w:vertAlign w:val="superscript"/>
    </w:rPr>
  </w:style>
  <w:style w:type="character" w:customStyle="1" w:styleId="FootnoteAnchor">
    <w:name w:val="Footnote Anchor"/>
    <w:rPr>
      <w:vertAlign w:val="superscript"/>
    </w:rPr>
  </w:style>
  <w:style w:type="character" w:customStyle="1" w:styleId="InternetLink">
    <w:name w:val="Internet Link"/>
    <w:basedOn w:val="Carpredefinitoparagrafo"/>
    <w:uiPriority w:val="99"/>
    <w:unhideWhenUsed/>
    <w:rsid w:val="004939D0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qFormat/>
    <w:rsid w:val="004939D0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qFormat/>
    <w:rsid w:val="00A13F4D"/>
    <w:rPr>
      <w:color w:val="954F72" w:themeColor="followedHyperlink"/>
      <w:u w:val="single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515CD2"/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515CD2"/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8A1203"/>
    <w:rPr>
      <w:rFonts w:ascii="Times New Roman" w:hAnsi="Times New Roman" w:cs="Times New Roman"/>
      <w:sz w:val="18"/>
      <w:szCs w:val="18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b w:val="0"/>
      <w:bCs w:val="0"/>
    </w:rPr>
  </w:style>
  <w:style w:type="paragraph" w:customStyle="1" w:styleId="Heading">
    <w:name w:val="Heading"/>
    <w:basedOn w:val="Normale"/>
    <w:next w:val="Corpotesto"/>
    <w:qFormat/>
    <w:pPr>
      <w:keepNext/>
      <w:spacing w:before="240" w:after="120"/>
    </w:pPr>
    <w:rPr>
      <w:rFonts w:ascii="Liberation Sans" w:eastAsia="Noto Sans SC Regular" w:hAnsi="Liberation Sans" w:cs="Noto Sans Devanagari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Noto Sans Devanagari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Noto Sans Devanagari"/>
      <w:i/>
      <w:iCs/>
    </w:rPr>
  </w:style>
  <w:style w:type="paragraph" w:customStyle="1" w:styleId="Index">
    <w:name w:val="Index"/>
    <w:basedOn w:val="Normale"/>
    <w:qFormat/>
    <w:pPr>
      <w:suppressLineNumbers/>
    </w:pPr>
    <w:rPr>
      <w:rFonts w:cs="Noto Sans Devanagari"/>
    </w:rPr>
  </w:style>
  <w:style w:type="paragraph" w:styleId="Paragrafoelenco">
    <w:name w:val="List Paragraph"/>
    <w:basedOn w:val="Normale"/>
    <w:uiPriority w:val="34"/>
    <w:qFormat/>
    <w:rsid w:val="00E94CE5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4939D0"/>
    <w:rPr>
      <w:sz w:val="20"/>
      <w:szCs w:val="20"/>
    </w:rPr>
  </w:style>
  <w:style w:type="paragraph" w:styleId="NormaleWeb">
    <w:name w:val="Normal (Web)"/>
    <w:basedOn w:val="Normale"/>
    <w:uiPriority w:val="99"/>
    <w:unhideWhenUsed/>
    <w:qFormat/>
    <w:rsid w:val="00AD7D88"/>
    <w:pPr>
      <w:spacing w:beforeAutospacing="1" w:afterAutospacing="1"/>
    </w:pPr>
    <w:rPr>
      <w:rFonts w:ascii="Times New Roman" w:eastAsia="Times New Roman" w:hAnsi="Times New Roman" w:cs="Times New Roman"/>
      <w:lang w:eastAsia="en-GB"/>
    </w:rPr>
  </w:style>
  <w:style w:type="paragraph" w:styleId="Intestazione">
    <w:name w:val="header"/>
    <w:basedOn w:val="Normale"/>
    <w:link w:val="IntestazioneCarattere"/>
    <w:uiPriority w:val="99"/>
    <w:unhideWhenUsed/>
    <w:rsid w:val="00515CD2"/>
    <w:pPr>
      <w:tabs>
        <w:tab w:val="center" w:pos="4513"/>
        <w:tab w:val="right" w:pos="9026"/>
      </w:tabs>
    </w:pPr>
  </w:style>
  <w:style w:type="paragraph" w:styleId="Pidipagina">
    <w:name w:val="footer"/>
    <w:basedOn w:val="Normale"/>
    <w:link w:val="PidipaginaCarattere"/>
    <w:uiPriority w:val="99"/>
    <w:unhideWhenUsed/>
    <w:rsid w:val="00515CD2"/>
    <w:pPr>
      <w:tabs>
        <w:tab w:val="center" w:pos="4513"/>
        <w:tab w:val="right" w:pos="9026"/>
      </w:tabs>
    </w:p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8A1203"/>
    <w:rPr>
      <w:rFonts w:ascii="Times New Roman" w:hAnsi="Times New Roman" w:cs="Times New Roman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AA6D90"/>
    <w:rPr>
      <w:color w:val="0563C1" w:themeColor="hyperlink"/>
      <w:u w:val="single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291C7E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unhideWhenUsed/>
    <w:rsid w:val="00291C7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91C7E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91C7E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91C7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291C7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8779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nowledge4policy.ec.europa.eu/text-mining/tim-dual-use_en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6D3C56-A313-4C49-B154-0399BACBEF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316</Words>
  <Characters>1803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Vella</dc:creator>
  <dc:description/>
  <cp:lastModifiedBy>E. Caponetti</cp:lastModifiedBy>
  <cp:revision>3</cp:revision>
  <cp:lastPrinted>2020-11-04T10:41:00Z</cp:lastPrinted>
  <dcterms:created xsi:type="dcterms:W3CDTF">2021-01-15T09:48:00Z</dcterms:created>
  <dcterms:modified xsi:type="dcterms:W3CDTF">2021-01-15T09:59:00Z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