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41982" w14:textId="77777777" w:rsidR="00D21315" w:rsidRPr="00326707" w:rsidRDefault="00D21315" w:rsidP="00D21315">
      <w:pPr>
        <w:pStyle w:val="Default"/>
        <w:rPr>
          <w:rFonts w:ascii="Times New Roman" w:hAnsi="Times New Roman" w:cs="Times New Roman"/>
          <w:b/>
          <w:color w:val="auto"/>
          <w:lang w:val="en-GB"/>
        </w:rPr>
      </w:pPr>
    </w:p>
    <w:p w14:paraId="576358FB" w14:textId="77777777" w:rsidR="004203F5" w:rsidRPr="00326707" w:rsidRDefault="00D21315" w:rsidP="00D21315">
      <w:pPr>
        <w:rPr>
          <w:rFonts w:ascii="Times New Roman" w:hAnsi="Times New Roman" w:cs="Times New Roman"/>
          <w:b/>
          <w:lang w:val="en-GB"/>
        </w:rPr>
      </w:pPr>
      <w:r w:rsidRPr="00326707">
        <w:rPr>
          <w:rFonts w:ascii="Times New Roman" w:hAnsi="Times New Roman" w:cs="Times New Roman"/>
          <w:b/>
          <w:lang w:val="en-GB"/>
        </w:rPr>
        <w:t xml:space="preserve"> </w:t>
      </w:r>
    </w:p>
    <w:p w14:paraId="19597D56" w14:textId="77777777" w:rsidR="004203F5" w:rsidRPr="00326707" w:rsidRDefault="004203F5" w:rsidP="00D21315">
      <w:pPr>
        <w:rPr>
          <w:rFonts w:ascii="Times New Roman" w:hAnsi="Times New Roman" w:cs="Times New Roman"/>
          <w:b/>
          <w:lang w:val="en-GB"/>
        </w:rPr>
      </w:pPr>
    </w:p>
    <w:p w14:paraId="192A1227" w14:textId="77777777" w:rsidR="004203F5" w:rsidRPr="00326707" w:rsidRDefault="004203F5" w:rsidP="00D21315">
      <w:pPr>
        <w:rPr>
          <w:rFonts w:ascii="Times New Roman" w:hAnsi="Times New Roman" w:cs="Times New Roman"/>
          <w:b/>
          <w:lang w:val="en-GB"/>
        </w:rPr>
      </w:pPr>
    </w:p>
    <w:p w14:paraId="7E0727B3" w14:textId="77777777" w:rsidR="004203F5" w:rsidRPr="00326707" w:rsidRDefault="004203F5" w:rsidP="00D21315">
      <w:pPr>
        <w:rPr>
          <w:rFonts w:ascii="Times New Roman" w:hAnsi="Times New Roman" w:cs="Times New Roman"/>
          <w:b/>
          <w:bCs/>
          <w:lang w:val="en-GB"/>
        </w:rPr>
      </w:pPr>
      <w:r w:rsidRPr="00326707">
        <w:rPr>
          <w:rFonts w:ascii="Times New Roman" w:hAnsi="Times New Roman" w:cs="Times New Roman"/>
          <w:b/>
          <w:lang w:val="en-GB"/>
        </w:rPr>
        <w:t xml:space="preserve">Adoption of EU </w:t>
      </w:r>
      <w:r w:rsidRPr="00326707">
        <w:rPr>
          <w:rFonts w:ascii="Times New Roman" w:hAnsi="Times New Roman" w:cs="Times New Roman"/>
          <w:b/>
          <w:bCs/>
          <w:lang w:val="en-GB"/>
        </w:rPr>
        <w:t>common guidelines on deactivation standards and techniques for ensuring that deactivated firearms.</w:t>
      </w:r>
    </w:p>
    <w:p w14:paraId="738AED71" w14:textId="77777777" w:rsidR="004203F5" w:rsidRPr="00326707" w:rsidRDefault="004203F5" w:rsidP="00D21315">
      <w:pPr>
        <w:rPr>
          <w:rFonts w:ascii="Times New Roman" w:hAnsi="Times New Roman" w:cs="Times New Roman"/>
          <w:b/>
          <w:bCs/>
          <w:lang w:val="en-GB"/>
        </w:rPr>
      </w:pPr>
    </w:p>
    <w:p w14:paraId="33C40C27" w14:textId="77777777" w:rsidR="00AB00E0" w:rsidRPr="00FB1A12" w:rsidRDefault="008633C5" w:rsidP="00D21315">
      <w:pPr>
        <w:rPr>
          <w:rFonts w:ascii="Times New Roman" w:hAnsi="Times New Roman" w:cs="Times New Roman"/>
          <w:bCs/>
          <w:lang w:val="en-GB"/>
        </w:rPr>
      </w:pPr>
      <w:bookmarkStart w:id="0" w:name="_GoBack"/>
      <w:r w:rsidRPr="00FB1A12">
        <w:rPr>
          <w:rFonts w:ascii="Times New Roman" w:hAnsi="Times New Roman" w:cs="Times New Roman"/>
          <w:bCs/>
          <w:lang w:val="en-GB"/>
        </w:rPr>
        <w:t xml:space="preserve">Commission implementing Regulation </w:t>
      </w:r>
      <w:r w:rsidR="00D21315" w:rsidRPr="00FB1A12">
        <w:rPr>
          <w:rFonts w:ascii="Times New Roman" w:hAnsi="Times New Roman" w:cs="Times New Roman"/>
          <w:bCs/>
          <w:lang w:val="en-GB"/>
        </w:rPr>
        <w:t xml:space="preserve">(EU) 2015/2403 of 15 December 2015 establishing common guidelines on deactivation standards and techniques for ensuring that deactivated firearms are rendered irreversibly inoperable </w:t>
      </w:r>
      <w:r w:rsidR="00967D59" w:rsidRPr="00FB1A12">
        <w:rPr>
          <w:rFonts w:ascii="Times New Roman" w:hAnsi="Times New Roman" w:cs="Times New Roman"/>
          <w:bCs/>
          <w:lang w:val="en-GB"/>
        </w:rPr>
        <w:t xml:space="preserve">was published on the </w:t>
      </w:r>
      <w:r w:rsidR="00967D59" w:rsidRPr="00FB1A12">
        <w:rPr>
          <w:rFonts w:ascii="Times New Roman" w:hAnsi="Times New Roman" w:cs="Times New Roman"/>
          <w:bCs/>
          <w:i/>
          <w:lang w:val="en-GB"/>
        </w:rPr>
        <w:t>Official Jo</w:t>
      </w:r>
      <w:r w:rsidR="00D21315" w:rsidRPr="00FB1A12">
        <w:rPr>
          <w:rFonts w:ascii="Times New Roman" w:hAnsi="Times New Roman" w:cs="Times New Roman"/>
          <w:bCs/>
          <w:i/>
          <w:lang w:val="en-GB"/>
        </w:rPr>
        <w:t>urnal of the European Union</w:t>
      </w:r>
      <w:r w:rsidR="00D21315" w:rsidRPr="00FB1A12">
        <w:rPr>
          <w:rFonts w:ascii="Times New Roman" w:hAnsi="Times New Roman" w:cs="Times New Roman"/>
          <w:bCs/>
          <w:lang w:val="en-GB"/>
        </w:rPr>
        <w:t xml:space="preserve"> (L 333/62 of 19 December 2015). </w:t>
      </w:r>
    </w:p>
    <w:p w14:paraId="0312F0A4" w14:textId="77777777" w:rsidR="00967D59" w:rsidRPr="00FB1A12" w:rsidRDefault="00967D59" w:rsidP="00D21315">
      <w:pPr>
        <w:rPr>
          <w:rFonts w:ascii="Times New Roman" w:hAnsi="Times New Roman" w:cs="Times New Roman"/>
          <w:bCs/>
          <w:lang w:val="en-GB"/>
        </w:rPr>
      </w:pPr>
    </w:p>
    <w:bookmarkEnd w:id="0"/>
    <w:p w14:paraId="08A66719" w14:textId="77777777" w:rsidR="004203F5" w:rsidRPr="00326707" w:rsidRDefault="00967D59" w:rsidP="00A472DC">
      <w:pPr>
        <w:widowControl w:val="0"/>
        <w:autoSpaceDE w:val="0"/>
        <w:autoSpaceDN w:val="0"/>
        <w:adjustRightInd w:val="0"/>
        <w:rPr>
          <w:rFonts w:ascii="Times New Roman" w:hAnsi="Times New Roman" w:cs="Times New Roman"/>
          <w:lang w:val="en-GB"/>
        </w:rPr>
      </w:pPr>
      <w:r w:rsidRPr="00326707">
        <w:rPr>
          <w:rFonts w:ascii="Times New Roman" w:hAnsi="Times New Roman" w:cs="Times New Roman"/>
          <w:bCs/>
          <w:lang w:val="en-GB"/>
        </w:rPr>
        <w:t xml:space="preserve">Commission implementing Regulation 2015/2403 establishes common guidelines on deactivation standards and techniques for deactivation of firearms belonging to </w:t>
      </w:r>
      <w:r w:rsidRPr="00326707">
        <w:rPr>
          <w:rFonts w:ascii="Times New Roman" w:hAnsi="Times New Roman" w:cs="Times New Roman"/>
          <w:lang w:val="en-GB"/>
        </w:rPr>
        <w:t>categories A</w:t>
      </w:r>
      <w:r w:rsidR="004203F5" w:rsidRPr="00326707">
        <w:rPr>
          <w:rFonts w:ascii="Times New Roman" w:hAnsi="Times New Roman" w:cs="Times New Roman"/>
          <w:lang w:val="en-GB"/>
        </w:rPr>
        <w:t xml:space="preserve"> (prohibited firearms)</w:t>
      </w:r>
      <w:r w:rsidRPr="00326707">
        <w:rPr>
          <w:rFonts w:ascii="Times New Roman" w:hAnsi="Times New Roman" w:cs="Times New Roman"/>
          <w:lang w:val="en-GB"/>
        </w:rPr>
        <w:t>, B</w:t>
      </w:r>
      <w:r w:rsidR="004203F5" w:rsidRPr="00326707">
        <w:rPr>
          <w:rFonts w:ascii="Times New Roman" w:hAnsi="Times New Roman" w:cs="Times New Roman"/>
          <w:lang w:val="en-GB"/>
        </w:rPr>
        <w:t xml:space="preserve"> (firearms subject to authorization)</w:t>
      </w:r>
      <w:r w:rsidRPr="00326707">
        <w:rPr>
          <w:rFonts w:ascii="Times New Roman" w:hAnsi="Times New Roman" w:cs="Times New Roman"/>
          <w:lang w:val="en-GB"/>
        </w:rPr>
        <w:t>, C</w:t>
      </w:r>
      <w:r w:rsidR="004203F5" w:rsidRPr="00326707">
        <w:rPr>
          <w:rFonts w:ascii="Times New Roman" w:hAnsi="Times New Roman" w:cs="Times New Roman"/>
          <w:lang w:val="en-GB"/>
        </w:rPr>
        <w:t xml:space="preserve"> (firearms subject to declaration)</w:t>
      </w:r>
      <w:r w:rsidRPr="00326707">
        <w:rPr>
          <w:rFonts w:ascii="Times New Roman" w:hAnsi="Times New Roman" w:cs="Times New Roman"/>
          <w:lang w:val="en-GB"/>
        </w:rPr>
        <w:t xml:space="preserve"> or D as defined in </w:t>
      </w:r>
      <w:r w:rsidR="00496042" w:rsidRPr="00326707">
        <w:rPr>
          <w:rFonts w:ascii="Times New Roman" w:hAnsi="Times New Roman" w:cs="Times New Roman"/>
          <w:lang w:val="en-GB"/>
        </w:rPr>
        <w:t xml:space="preserve">Annex I to Directive 91/477/EEC </w:t>
      </w:r>
      <w:r w:rsidR="00A472DC" w:rsidRPr="00326707">
        <w:rPr>
          <w:rFonts w:ascii="Times New Roman" w:hAnsi="Times New Roman" w:cs="Times New Roman"/>
          <w:lang w:val="en-GB"/>
        </w:rPr>
        <w:t xml:space="preserve">of 18 June 1991 on control of the acquisition and possession of weapons </w:t>
      </w:r>
      <w:r w:rsidR="00496042" w:rsidRPr="00326707">
        <w:rPr>
          <w:rFonts w:ascii="Times New Roman" w:hAnsi="Times New Roman" w:cs="Times New Roman"/>
          <w:lang w:val="en-GB"/>
        </w:rPr>
        <w:t>(</w:t>
      </w:r>
      <w:r w:rsidR="00496042" w:rsidRPr="00326707">
        <w:rPr>
          <w:rFonts w:ascii="Times New Roman" w:hAnsi="Times New Roman" w:cs="Times New Roman"/>
          <w:i/>
          <w:lang w:val="en-GB"/>
        </w:rPr>
        <w:t>Official Journal of the European Union</w:t>
      </w:r>
      <w:r w:rsidR="00496042" w:rsidRPr="00326707">
        <w:rPr>
          <w:rFonts w:ascii="Times New Roman" w:hAnsi="Times New Roman" w:cs="Times New Roman"/>
          <w:lang w:val="en-GB"/>
        </w:rPr>
        <w:t xml:space="preserve"> L 256/51 of 13 September 1991).</w:t>
      </w:r>
    </w:p>
    <w:p w14:paraId="72CDE14E" w14:textId="77777777" w:rsidR="00967D59" w:rsidRPr="00326707" w:rsidRDefault="00967D59" w:rsidP="00A472DC">
      <w:pPr>
        <w:widowControl w:val="0"/>
        <w:autoSpaceDE w:val="0"/>
        <w:autoSpaceDN w:val="0"/>
        <w:adjustRightInd w:val="0"/>
        <w:rPr>
          <w:rFonts w:ascii="Times New Roman" w:hAnsi="Times New Roman" w:cs="Times New Roman"/>
          <w:lang w:val="en-GB"/>
        </w:rPr>
      </w:pPr>
    </w:p>
    <w:p w14:paraId="5F495926" w14:textId="77777777" w:rsidR="001712FE" w:rsidRPr="00326707" w:rsidRDefault="001712FE" w:rsidP="00A472DC">
      <w:pPr>
        <w:widowControl w:val="0"/>
        <w:autoSpaceDE w:val="0"/>
        <w:autoSpaceDN w:val="0"/>
        <w:adjustRightInd w:val="0"/>
        <w:rPr>
          <w:rFonts w:ascii="Times New Roman" w:hAnsi="Times New Roman" w:cs="Times New Roman"/>
          <w:lang w:val="en-GB"/>
        </w:rPr>
      </w:pPr>
      <w:r w:rsidRPr="00326707">
        <w:rPr>
          <w:rFonts w:ascii="Times New Roman" w:hAnsi="Times New Roman" w:cs="Times New Roman"/>
          <w:lang w:val="en-GB"/>
        </w:rPr>
        <w:t xml:space="preserve">The Firearms Directive </w:t>
      </w:r>
      <w:r w:rsidR="002033F6" w:rsidRPr="00326707">
        <w:rPr>
          <w:rFonts w:ascii="Times New Roman" w:hAnsi="Times New Roman" w:cs="Times New Roman"/>
          <w:lang w:val="en-GB"/>
        </w:rPr>
        <w:t xml:space="preserve">91/477/EEC of 18 June 1991 </w:t>
      </w:r>
      <w:r w:rsidRPr="00326707">
        <w:rPr>
          <w:rFonts w:ascii="Times New Roman" w:hAnsi="Times New Roman" w:cs="Times New Roman"/>
          <w:lang w:val="en-GB"/>
        </w:rPr>
        <w:t>regulates the acquisition, possession, and the commercial exchange within the EU of civil firearms (e.g. firearms used for sport shooting and hunting). It sets common minimum standards, which Member States have to transpose in their national weapon laws, and aims at balancing internal market objectives (i.e. cross border movement of firearms) and security policy objectives (i.e. high level of security and protection against criminal acts and illicit trafficking) within the EU.</w:t>
      </w:r>
    </w:p>
    <w:p w14:paraId="1BEDE00C" w14:textId="77777777" w:rsidR="004203F5" w:rsidRPr="00326707" w:rsidRDefault="004203F5" w:rsidP="00A472DC">
      <w:pPr>
        <w:widowControl w:val="0"/>
        <w:autoSpaceDE w:val="0"/>
        <w:autoSpaceDN w:val="0"/>
        <w:adjustRightInd w:val="0"/>
        <w:rPr>
          <w:rFonts w:ascii="Times New Roman" w:hAnsi="Times New Roman" w:cs="Times New Roman"/>
          <w:lang w:val="en-GB"/>
        </w:rPr>
      </w:pPr>
    </w:p>
    <w:p w14:paraId="0FB8ECA7" w14:textId="77777777" w:rsidR="00084ADE" w:rsidRPr="00326707" w:rsidRDefault="001712FE" w:rsidP="001712FE">
      <w:pPr>
        <w:widowControl w:val="0"/>
        <w:autoSpaceDE w:val="0"/>
        <w:autoSpaceDN w:val="0"/>
        <w:adjustRightInd w:val="0"/>
        <w:rPr>
          <w:rFonts w:ascii="Times New Roman" w:hAnsi="Times New Roman" w:cs="Times New Roman"/>
          <w:lang w:val="en-GB"/>
        </w:rPr>
      </w:pPr>
      <w:r w:rsidRPr="00326707">
        <w:rPr>
          <w:rFonts w:ascii="Times New Roman" w:hAnsi="Times New Roman" w:cs="Times New Roman"/>
          <w:lang w:val="en-GB"/>
        </w:rPr>
        <w:t>Directive 91/477/EEC originally constituted an accompanying measure for the completion of the internal market. The abolition of controls on the possession of weapons at intra-Community frontiers made it necessary to adopt effective rules enabling controls to be carried out within the Member States. To this end the Directive contains rules on the acquisition and possession of firearms and on the transfers of the firearms between Member States.</w:t>
      </w:r>
      <w:r w:rsidRPr="00326707">
        <w:rPr>
          <w:rStyle w:val="Marquenotebasdepage"/>
          <w:rFonts w:ascii="Times New Roman" w:hAnsi="Times New Roman" w:cs="Times New Roman"/>
          <w:lang w:val="en-GB"/>
        </w:rPr>
        <w:footnoteReference w:id="1"/>
      </w:r>
    </w:p>
    <w:p w14:paraId="445B704D" w14:textId="77777777" w:rsidR="002033F6" w:rsidRPr="00326707" w:rsidRDefault="002033F6" w:rsidP="001712FE">
      <w:pPr>
        <w:widowControl w:val="0"/>
        <w:autoSpaceDE w:val="0"/>
        <w:autoSpaceDN w:val="0"/>
        <w:adjustRightInd w:val="0"/>
        <w:rPr>
          <w:rFonts w:ascii="Times New Roman" w:hAnsi="Times New Roman" w:cs="Times New Roman"/>
          <w:lang w:val="en-GB"/>
        </w:rPr>
      </w:pPr>
    </w:p>
    <w:p w14:paraId="02F00534" w14:textId="77777777" w:rsidR="003C7D34" w:rsidRPr="00326707" w:rsidRDefault="003C7D34" w:rsidP="00D21315">
      <w:pPr>
        <w:rPr>
          <w:rFonts w:ascii="Times New Roman" w:hAnsi="Times New Roman" w:cs="Times New Roman"/>
          <w:bCs/>
          <w:lang w:val="en-GB"/>
        </w:rPr>
      </w:pPr>
      <w:r w:rsidRPr="00326707">
        <w:rPr>
          <w:rFonts w:ascii="Times New Roman" w:hAnsi="Times New Roman" w:cs="Times New Roman"/>
          <w:lang w:val="en-GB"/>
        </w:rPr>
        <w:t xml:space="preserve">The </w:t>
      </w:r>
      <w:r w:rsidRPr="00326707">
        <w:rPr>
          <w:rFonts w:ascii="Times New Roman" w:hAnsi="Times New Roman" w:cs="Times New Roman"/>
          <w:b/>
          <w:lang w:val="en-GB"/>
        </w:rPr>
        <w:t>main elements</w:t>
      </w:r>
      <w:r w:rsidRPr="00326707">
        <w:rPr>
          <w:rFonts w:ascii="Times New Roman" w:hAnsi="Times New Roman" w:cs="Times New Roman"/>
          <w:lang w:val="en-GB"/>
        </w:rPr>
        <w:t xml:space="preserve"> introduced by </w:t>
      </w:r>
      <w:r w:rsidRPr="00326707">
        <w:rPr>
          <w:rFonts w:ascii="Times New Roman" w:hAnsi="Times New Roman" w:cs="Times New Roman"/>
          <w:bCs/>
          <w:lang w:val="en-GB"/>
        </w:rPr>
        <w:t>Commission implementing Regulation 2015/2403 are:</w:t>
      </w:r>
    </w:p>
    <w:p w14:paraId="4D045D74" w14:textId="77777777" w:rsidR="003C7D34" w:rsidRPr="00326707" w:rsidRDefault="003C7D34" w:rsidP="00AA70A4">
      <w:pPr>
        <w:pStyle w:val="Paragraphedeliste"/>
        <w:numPr>
          <w:ilvl w:val="0"/>
          <w:numId w:val="1"/>
        </w:numPr>
        <w:rPr>
          <w:rFonts w:ascii="Times New Roman" w:hAnsi="Times New Roman" w:cs="Times New Roman"/>
          <w:bCs/>
          <w:lang w:val="en-GB"/>
        </w:rPr>
      </w:pPr>
      <w:r w:rsidRPr="00326707">
        <w:rPr>
          <w:rFonts w:ascii="Times New Roman" w:hAnsi="Times New Roman" w:cs="Times New Roman"/>
          <w:bCs/>
          <w:lang w:val="en-GB"/>
        </w:rPr>
        <w:t xml:space="preserve">The establishment of </w:t>
      </w:r>
      <w:r w:rsidRPr="00326707">
        <w:rPr>
          <w:rFonts w:ascii="Times New Roman" w:hAnsi="Times New Roman" w:cs="Times New Roman"/>
          <w:b/>
          <w:bCs/>
          <w:lang w:val="en-GB"/>
        </w:rPr>
        <w:t>national</w:t>
      </w:r>
      <w:r w:rsidRPr="00326707">
        <w:rPr>
          <w:rFonts w:ascii="Times New Roman" w:hAnsi="Times New Roman" w:cs="Times New Roman"/>
          <w:bCs/>
          <w:lang w:val="en-GB"/>
        </w:rPr>
        <w:t xml:space="preserve"> competent </w:t>
      </w:r>
      <w:r w:rsidRPr="00326707">
        <w:rPr>
          <w:rFonts w:ascii="Times New Roman" w:hAnsi="Times New Roman" w:cs="Times New Roman"/>
          <w:b/>
          <w:bCs/>
          <w:lang w:val="en-GB"/>
        </w:rPr>
        <w:t>authorities</w:t>
      </w:r>
      <w:r w:rsidRPr="00326707">
        <w:rPr>
          <w:rFonts w:ascii="Times New Roman" w:hAnsi="Times New Roman" w:cs="Times New Roman"/>
          <w:bCs/>
          <w:lang w:val="en-GB"/>
        </w:rPr>
        <w:t xml:space="preserve"> as verifying entities;</w:t>
      </w:r>
    </w:p>
    <w:p w14:paraId="3B820283" w14:textId="77777777" w:rsidR="00AA70A4" w:rsidRPr="00326707" w:rsidRDefault="00AA70A4" w:rsidP="00AA70A4">
      <w:pPr>
        <w:pStyle w:val="Paragraphedeliste"/>
        <w:numPr>
          <w:ilvl w:val="0"/>
          <w:numId w:val="1"/>
        </w:numPr>
        <w:rPr>
          <w:rFonts w:ascii="Times New Roman" w:hAnsi="Times New Roman" w:cs="Times New Roman"/>
          <w:bCs/>
          <w:lang w:val="en-GB"/>
        </w:rPr>
      </w:pPr>
      <w:r w:rsidRPr="00326707">
        <w:rPr>
          <w:rFonts w:ascii="Times New Roman" w:hAnsi="Times New Roman" w:cs="Times New Roman"/>
          <w:bCs/>
          <w:lang w:val="en-GB"/>
        </w:rPr>
        <w:t xml:space="preserve">The establishment of </w:t>
      </w:r>
      <w:r w:rsidRPr="00326707">
        <w:rPr>
          <w:rFonts w:ascii="Times New Roman" w:hAnsi="Times New Roman" w:cs="Times New Roman"/>
          <w:b/>
          <w:bCs/>
          <w:lang w:val="en-GB"/>
        </w:rPr>
        <w:t>common</w:t>
      </w:r>
      <w:r w:rsidRPr="00326707">
        <w:rPr>
          <w:rFonts w:ascii="Times New Roman" w:hAnsi="Times New Roman" w:cs="Times New Roman"/>
          <w:bCs/>
          <w:lang w:val="en-GB"/>
        </w:rPr>
        <w:t xml:space="preserve"> </w:t>
      </w:r>
      <w:r w:rsidRPr="00326707">
        <w:rPr>
          <w:rFonts w:ascii="Times New Roman" w:hAnsi="Times New Roman" w:cs="Times New Roman"/>
          <w:b/>
          <w:bCs/>
          <w:lang w:val="en-GB"/>
        </w:rPr>
        <w:t>standards</w:t>
      </w:r>
      <w:r w:rsidRPr="00326707">
        <w:rPr>
          <w:rFonts w:ascii="Times New Roman" w:hAnsi="Times New Roman" w:cs="Times New Roman"/>
          <w:bCs/>
          <w:lang w:val="en-GB"/>
        </w:rPr>
        <w:t xml:space="preserve"> and </w:t>
      </w:r>
      <w:r w:rsidRPr="00326707">
        <w:rPr>
          <w:rFonts w:ascii="Times New Roman" w:hAnsi="Times New Roman" w:cs="Times New Roman"/>
          <w:b/>
          <w:bCs/>
          <w:lang w:val="en-GB"/>
        </w:rPr>
        <w:t>procedures</w:t>
      </w:r>
      <w:r w:rsidRPr="00326707">
        <w:rPr>
          <w:rFonts w:ascii="Times New Roman" w:hAnsi="Times New Roman" w:cs="Times New Roman"/>
          <w:bCs/>
          <w:lang w:val="en-GB"/>
        </w:rPr>
        <w:t xml:space="preserve"> to deactivate firearms;</w:t>
      </w:r>
    </w:p>
    <w:p w14:paraId="05A71E21" w14:textId="77777777" w:rsidR="003C7D34" w:rsidRPr="00326707" w:rsidRDefault="003C7D34" w:rsidP="00AA70A4">
      <w:pPr>
        <w:pStyle w:val="Paragraphedeliste"/>
        <w:numPr>
          <w:ilvl w:val="0"/>
          <w:numId w:val="1"/>
        </w:numPr>
        <w:rPr>
          <w:rFonts w:ascii="Times New Roman" w:hAnsi="Times New Roman" w:cs="Times New Roman"/>
          <w:bCs/>
          <w:lang w:val="en-GB"/>
        </w:rPr>
      </w:pPr>
      <w:r w:rsidRPr="00326707">
        <w:rPr>
          <w:rFonts w:ascii="Times New Roman" w:hAnsi="Times New Roman" w:cs="Times New Roman"/>
          <w:bCs/>
          <w:lang w:val="en-GB"/>
        </w:rPr>
        <w:t xml:space="preserve">The establishment of common </w:t>
      </w:r>
      <w:r w:rsidRPr="00326707">
        <w:rPr>
          <w:rFonts w:ascii="Times New Roman" w:hAnsi="Times New Roman" w:cs="Times New Roman"/>
          <w:b/>
          <w:bCs/>
          <w:lang w:val="en-GB"/>
        </w:rPr>
        <w:t>unique marking</w:t>
      </w:r>
      <w:r w:rsidRPr="00326707">
        <w:rPr>
          <w:rFonts w:ascii="Times New Roman" w:hAnsi="Times New Roman" w:cs="Times New Roman"/>
          <w:bCs/>
          <w:lang w:val="en-GB"/>
        </w:rPr>
        <w:t xml:space="preserve"> attesting the deactivation of firearms;</w:t>
      </w:r>
    </w:p>
    <w:p w14:paraId="773B96DA" w14:textId="77777777" w:rsidR="003C7D34" w:rsidRPr="00326707" w:rsidRDefault="003C7D34" w:rsidP="00AA70A4">
      <w:pPr>
        <w:pStyle w:val="Paragraphedeliste"/>
        <w:numPr>
          <w:ilvl w:val="0"/>
          <w:numId w:val="1"/>
        </w:numPr>
        <w:rPr>
          <w:rFonts w:ascii="Times New Roman" w:hAnsi="Times New Roman" w:cs="Times New Roman"/>
          <w:bCs/>
          <w:lang w:val="en-GB"/>
        </w:rPr>
      </w:pPr>
      <w:r w:rsidRPr="00326707">
        <w:rPr>
          <w:rFonts w:ascii="Times New Roman" w:hAnsi="Times New Roman" w:cs="Times New Roman"/>
          <w:bCs/>
          <w:lang w:val="en-GB"/>
        </w:rPr>
        <w:t xml:space="preserve">The issuing of a </w:t>
      </w:r>
      <w:r w:rsidRPr="00326707">
        <w:rPr>
          <w:rFonts w:ascii="Times New Roman" w:hAnsi="Times New Roman" w:cs="Times New Roman"/>
          <w:b/>
          <w:bCs/>
          <w:lang w:val="en-GB"/>
        </w:rPr>
        <w:t>deactivation certificate</w:t>
      </w:r>
      <w:r w:rsidRPr="00326707">
        <w:rPr>
          <w:rFonts w:ascii="Times New Roman" w:hAnsi="Times New Roman" w:cs="Times New Roman"/>
          <w:bCs/>
          <w:lang w:val="en-GB"/>
        </w:rPr>
        <w:t xml:space="preserve"> by the verifying entity;</w:t>
      </w:r>
    </w:p>
    <w:p w14:paraId="4417123F" w14:textId="77777777" w:rsidR="003C7D34" w:rsidRPr="00326707" w:rsidRDefault="003C7D34" w:rsidP="00AA70A4">
      <w:pPr>
        <w:pStyle w:val="Paragraphedeliste"/>
        <w:numPr>
          <w:ilvl w:val="0"/>
          <w:numId w:val="1"/>
        </w:numPr>
        <w:rPr>
          <w:rFonts w:ascii="Times New Roman" w:hAnsi="Times New Roman" w:cs="Times New Roman"/>
          <w:bCs/>
          <w:lang w:val="en-GB"/>
        </w:rPr>
      </w:pPr>
      <w:r w:rsidRPr="00326707">
        <w:rPr>
          <w:rFonts w:ascii="Times New Roman" w:hAnsi="Times New Roman" w:cs="Times New Roman"/>
          <w:bCs/>
          <w:lang w:val="en-GB"/>
        </w:rPr>
        <w:t xml:space="preserve">The imposition of a </w:t>
      </w:r>
      <w:r w:rsidRPr="00326707">
        <w:rPr>
          <w:rFonts w:ascii="Times New Roman" w:hAnsi="Times New Roman" w:cs="Times New Roman"/>
          <w:b/>
          <w:bCs/>
          <w:lang w:val="en-GB"/>
        </w:rPr>
        <w:t>record-keeping</w:t>
      </w:r>
      <w:r w:rsidRPr="00326707">
        <w:rPr>
          <w:rFonts w:ascii="Times New Roman" w:hAnsi="Times New Roman" w:cs="Times New Roman"/>
          <w:bCs/>
          <w:lang w:val="en-GB"/>
        </w:rPr>
        <w:t xml:space="preserve"> </w:t>
      </w:r>
      <w:r w:rsidRPr="00326707">
        <w:rPr>
          <w:rFonts w:ascii="Times New Roman" w:hAnsi="Times New Roman" w:cs="Times New Roman"/>
          <w:lang w:val="en-GB"/>
        </w:rPr>
        <w:t>of the certificates issued for deactivated firearms for a period of at least 20 years</w:t>
      </w:r>
      <w:r w:rsidR="00AA70A4" w:rsidRPr="00326707">
        <w:rPr>
          <w:rFonts w:ascii="Times New Roman" w:hAnsi="Times New Roman" w:cs="Times New Roman"/>
          <w:lang w:val="en-GB"/>
        </w:rPr>
        <w:t>;</w:t>
      </w:r>
    </w:p>
    <w:p w14:paraId="4423C7D7" w14:textId="77777777" w:rsidR="003C7D34" w:rsidRPr="00326707" w:rsidRDefault="003C7D34" w:rsidP="00AA70A4">
      <w:pPr>
        <w:pStyle w:val="Paragraphedeliste"/>
        <w:numPr>
          <w:ilvl w:val="0"/>
          <w:numId w:val="1"/>
        </w:numPr>
        <w:rPr>
          <w:rFonts w:ascii="Times New Roman" w:hAnsi="Times New Roman" w:cs="Times New Roman"/>
          <w:bCs/>
          <w:lang w:val="en-GB"/>
        </w:rPr>
      </w:pPr>
      <w:r w:rsidRPr="00326707">
        <w:rPr>
          <w:rFonts w:ascii="Times New Roman" w:hAnsi="Times New Roman" w:cs="Times New Roman"/>
          <w:b/>
          <w:bCs/>
          <w:lang w:val="en-GB"/>
        </w:rPr>
        <w:t>Common conditions</w:t>
      </w:r>
      <w:r w:rsidRPr="00326707">
        <w:rPr>
          <w:rFonts w:ascii="Times New Roman" w:hAnsi="Times New Roman" w:cs="Times New Roman"/>
          <w:bCs/>
          <w:lang w:val="en-GB"/>
        </w:rPr>
        <w:t xml:space="preserve"> regulating the </w:t>
      </w:r>
      <w:r w:rsidRPr="00326707">
        <w:rPr>
          <w:rFonts w:ascii="Times New Roman" w:hAnsi="Times New Roman" w:cs="Times New Roman"/>
          <w:b/>
          <w:bCs/>
          <w:lang w:val="en-GB"/>
        </w:rPr>
        <w:t>transfers</w:t>
      </w:r>
      <w:r w:rsidRPr="00326707">
        <w:rPr>
          <w:rFonts w:ascii="Times New Roman" w:hAnsi="Times New Roman" w:cs="Times New Roman"/>
          <w:bCs/>
          <w:lang w:val="en-GB"/>
        </w:rPr>
        <w:t xml:space="preserve"> of firearms within the Union. </w:t>
      </w:r>
    </w:p>
    <w:p w14:paraId="2BB64B7D" w14:textId="77777777" w:rsidR="003C7D34" w:rsidRPr="00326707" w:rsidRDefault="003C7D34" w:rsidP="00D21315">
      <w:pPr>
        <w:rPr>
          <w:rFonts w:ascii="Times New Roman" w:hAnsi="Times New Roman" w:cs="Times New Roman"/>
          <w:bCs/>
          <w:lang w:val="en-GB"/>
        </w:rPr>
      </w:pPr>
    </w:p>
    <w:p w14:paraId="0B7ABFB9" w14:textId="77777777" w:rsidR="006305D8" w:rsidRPr="00326707" w:rsidRDefault="006305D8" w:rsidP="00D21315">
      <w:pPr>
        <w:rPr>
          <w:rFonts w:ascii="Times New Roman" w:hAnsi="Times New Roman" w:cs="Times New Roman"/>
          <w:bCs/>
          <w:lang w:val="en-GB"/>
        </w:rPr>
      </w:pPr>
    </w:p>
    <w:p w14:paraId="7F19D05B" w14:textId="77777777" w:rsidR="00AD1C0A" w:rsidRPr="00326707" w:rsidRDefault="00D54151" w:rsidP="00AD1C0A">
      <w:pPr>
        <w:rPr>
          <w:rFonts w:ascii="Times New Roman" w:hAnsi="Times New Roman" w:cs="Times New Roman"/>
          <w:bCs/>
          <w:lang w:val="en-GB"/>
        </w:rPr>
      </w:pPr>
      <w:r w:rsidRPr="00326707">
        <w:rPr>
          <w:rFonts w:ascii="Times New Roman" w:hAnsi="Times New Roman" w:cs="Times New Roman"/>
          <w:b/>
          <w:bCs/>
          <w:lang w:val="en-GB"/>
        </w:rPr>
        <w:t>Common standards and procedures</w:t>
      </w:r>
      <w:r w:rsidRPr="00326707">
        <w:rPr>
          <w:rFonts w:ascii="Times New Roman" w:hAnsi="Times New Roman" w:cs="Times New Roman"/>
          <w:bCs/>
          <w:lang w:val="en-GB"/>
        </w:rPr>
        <w:t xml:space="preserve"> to deactivate firearms</w:t>
      </w:r>
      <w:r w:rsidRPr="00326707">
        <w:rPr>
          <w:rFonts w:ascii="Times New Roman" w:hAnsi="Times New Roman" w:cs="Times New Roman"/>
          <w:lang w:val="en-GB"/>
        </w:rPr>
        <w:t xml:space="preserve"> are set out in </w:t>
      </w:r>
      <w:r w:rsidR="006212BB" w:rsidRPr="00326707">
        <w:rPr>
          <w:rFonts w:ascii="Times New Roman" w:hAnsi="Times New Roman" w:cs="Times New Roman"/>
          <w:lang w:val="en-GB"/>
        </w:rPr>
        <w:t xml:space="preserve">Annex I to Commission </w:t>
      </w:r>
      <w:r w:rsidR="006212BB" w:rsidRPr="00326707">
        <w:rPr>
          <w:rFonts w:ascii="Times New Roman" w:hAnsi="Times New Roman" w:cs="Times New Roman"/>
          <w:bCs/>
          <w:lang w:val="en-GB"/>
        </w:rPr>
        <w:t>im</w:t>
      </w:r>
      <w:r w:rsidRPr="00326707">
        <w:rPr>
          <w:rFonts w:ascii="Times New Roman" w:hAnsi="Times New Roman" w:cs="Times New Roman"/>
          <w:bCs/>
          <w:lang w:val="en-GB"/>
        </w:rPr>
        <w:t xml:space="preserve">plementing Regulation 2015/2403, containing </w:t>
      </w:r>
      <w:r w:rsidR="006212BB" w:rsidRPr="00326707">
        <w:rPr>
          <w:rFonts w:ascii="Times New Roman" w:hAnsi="Times New Roman" w:cs="Times New Roman"/>
          <w:bCs/>
          <w:lang w:val="en-GB"/>
        </w:rPr>
        <w:t>technical specifications on how to deactivate firearms.</w:t>
      </w:r>
    </w:p>
    <w:p w14:paraId="1C5B1D16" w14:textId="77777777" w:rsidR="006305D8" w:rsidRPr="00326707" w:rsidRDefault="00D54151" w:rsidP="00D21315">
      <w:pPr>
        <w:rPr>
          <w:rFonts w:ascii="Times New Roman" w:hAnsi="Times New Roman" w:cs="Times New Roman"/>
          <w:lang w:val="en-GB"/>
        </w:rPr>
      </w:pPr>
      <w:r w:rsidRPr="00326707">
        <w:rPr>
          <w:rFonts w:ascii="Times New Roman" w:hAnsi="Times New Roman" w:cs="Times New Roman"/>
          <w:lang w:val="en-GB"/>
        </w:rPr>
        <w:t xml:space="preserve">Article 5 sets out conditions for </w:t>
      </w:r>
      <w:r w:rsidRPr="00326707">
        <w:rPr>
          <w:rFonts w:ascii="Times New Roman" w:hAnsi="Times New Roman" w:cs="Times New Roman"/>
          <w:b/>
          <w:lang w:val="en-GB"/>
        </w:rPr>
        <w:t>marking of deactivated firearms</w:t>
      </w:r>
      <w:r w:rsidR="006305D8" w:rsidRPr="00326707">
        <w:rPr>
          <w:rFonts w:ascii="Times New Roman" w:hAnsi="Times New Roman" w:cs="Times New Roman"/>
          <w:lang w:val="en-GB"/>
        </w:rPr>
        <w:t>:</w:t>
      </w:r>
    </w:p>
    <w:p w14:paraId="6E77895D" w14:textId="77777777" w:rsidR="00AD1C0A" w:rsidRPr="00326707" w:rsidRDefault="00AD1C0A" w:rsidP="00B67EAF">
      <w:pPr>
        <w:pStyle w:val="Paragraphedeliste"/>
        <w:numPr>
          <w:ilvl w:val="0"/>
          <w:numId w:val="2"/>
        </w:numPr>
        <w:rPr>
          <w:rFonts w:ascii="Times New Roman" w:hAnsi="Times New Roman" w:cs="Times New Roman"/>
          <w:bCs/>
          <w:lang w:val="en-GB"/>
        </w:rPr>
      </w:pPr>
      <w:r w:rsidRPr="00326707">
        <w:rPr>
          <w:rFonts w:ascii="Times New Roman" w:hAnsi="Times New Roman" w:cs="Times New Roman"/>
          <w:lang w:val="en-GB"/>
        </w:rPr>
        <w:t xml:space="preserve">Deactivated firearms shall be marked with a common unique marking affixed by the verifying entity (in accordance with the template set out in Annex II to Commission </w:t>
      </w:r>
      <w:r w:rsidRPr="00326707">
        <w:rPr>
          <w:rFonts w:ascii="Times New Roman" w:hAnsi="Times New Roman" w:cs="Times New Roman"/>
          <w:bCs/>
          <w:lang w:val="en-GB"/>
        </w:rPr>
        <w:t>implementing Regulation 2015/2403).</w:t>
      </w:r>
    </w:p>
    <w:p w14:paraId="7ADDB3B6" w14:textId="77777777" w:rsidR="006305D8" w:rsidRPr="00326707" w:rsidRDefault="006305D8" w:rsidP="00B67EAF">
      <w:pPr>
        <w:pStyle w:val="Paragraphedeliste"/>
        <w:rPr>
          <w:rFonts w:ascii="Times New Roman" w:hAnsi="Times New Roman" w:cs="Times New Roman"/>
          <w:bCs/>
          <w:lang w:val="en-GB"/>
        </w:rPr>
      </w:pPr>
    </w:p>
    <w:p w14:paraId="264441EF" w14:textId="77777777" w:rsidR="00AD1C0A" w:rsidRPr="00326707" w:rsidRDefault="00AD1C0A" w:rsidP="00D21315">
      <w:pPr>
        <w:rPr>
          <w:rFonts w:ascii="Times New Roman" w:hAnsi="Times New Roman" w:cs="Times New Roman"/>
          <w:bCs/>
          <w:lang w:val="en-GB"/>
        </w:rPr>
      </w:pPr>
      <w:r w:rsidRPr="00326707">
        <w:rPr>
          <w:rFonts w:ascii="Times New Roman" w:hAnsi="Times New Roman" w:cs="Times New Roman"/>
          <w:bCs/>
          <w:lang w:val="en-GB"/>
        </w:rPr>
        <w:t xml:space="preserve">The verifying entity shall issue a </w:t>
      </w:r>
      <w:r w:rsidRPr="00326707">
        <w:rPr>
          <w:rFonts w:ascii="Times New Roman" w:hAnsi="Times New Roman" w:cs="Times New Roman"/>
          <w:b/>
          <w:bCs/>
          <w:lang w:val="en-GB"/>
        </w:rPr>
        <w:t>deactivation certificate</w:t>
      </w:r>
      <w:r w:rsidRPr="00326707">
        <w:rPr>
          <w:rFonts w:ascii="Times New Roman" w:hAnsi="Times New Roman" w:cs="Times New Roman"/>
          <w:bCs/>
          <w:lang w:val="en-GB"/>
        </w:rPr>
        <w:t xml:space="preserve"> to the owner of the firearm</w:t>
      </w:r>
      <w:r w:rsidR="00D54151" w:rsidRPr="00326707">
        <w:rPr>
          <w:rFonts w:ascii="Times New Roman" w:hAnsi="Times New Roman" w:cs="Times New Roman"/>
          <w:bCs/>
          <w:lang w:val="en-GB"/>
        </w:rPr>
        <w:t>, as set out in Article 3</w:t>
      </w:r>
      <w:r w:rsidRPr="00326707">
        <w:rPr>
          <w:rFonts w:ascii="Times New Roman" w:hAnsi="Times New Roman" w:cs="Times New Roman"/>
          <w:bCs/>
          <w:lang w:val="en-GB"/>
        </w:rPr>
        <w:t xml:space="preserve"> (in accordance to the template set out in Annex III to </w:t>
      </w:r>
      <w:r w:rsidRPr="00326707">
        <w:rPr>
          <w:rFonts w:ascii="Times New Roman" w:hAnsi="Times New Roman" w:cs="Times New Roman"/>
          <w:lang w:val="en-GB"/>
        </w:rPr>
        <w:t xml:space="preserve">Commission </w:t>
      </w:r>
      <w:r w:rsidRPr="00326707">
        <w:rPr>
          <w:rFonts w:ascii="Times New Roman" w:hAnsi="Times New Roman" w:cs="Times New Roman"/>
          <w:bCs/>
          <w:lang w:val="en-GB"/>
        </w:rPr>
        <w:t xml:space="preserve">implementing Regulation 2015/2403). </w:t>
      </w:r>
    </w:p>
    <w:p w14:paraId="23A22832" w14:textId="77777777" w:rsidR="006305D8" w:rsidRPr="00326707" w:rsidRDefault="006305D8" w:rsidP="00D21315">
      <w:pPr>
        <w:rPr>
          <w:rFonts w:ascii="Times New Roman" w:hAnsi="Times New Roman" w:cs="Times New Roman"/>
          <w:bCs/>
          <w:lang w:val="en-GB"/>
        </w:rPr>
      </w:pPr>
    </w:p>
    <w:p w14:paraId="1EECCCC0" w14:textId="77777777" w:rsidR="00E80DCE" w:rsidRPr="00326707" w:rsidRDefault="00E62AB9" w:rsidP="00D21315">
      <w:pPr>
        <w:rPr>
          <w:rFonts w:ascii="Times New Roman" w:hAnsi="Times New Roman" w:cs="Times New Roman"/>
          <w:lang w:val="en-GB"/>
        </w:rPr>
      </w:pPr>
      <w:r w:rsidRPr="00326707">
        <w:rPr>
          <w:rFonts w:ascii="Times New Roman" w:hAnsi="Times New Roman" w:cs="Times New Roman"/>
          <w:lang w:val="en-GB"/>
        </w:rPr>
        <w:t xml:space="preserve">Member States shall ensure that a </w:t>
      </w:r>
      <w:r w:rsidRPr="00326707">
        <w:rPr>
          <w:rFonts w:ascii="Times New Roman" w:hAnsi="Times New Roman" w:cs="Times New Roman"/>
          <w:b/>
          <w:lang w:val="en-GB"/>
        </w:rPr>
        <w:t>record</w:t>
      </w:r>
      <w:r w:rsidRPr="00326707">
        <w:rPr>
          <w:rFonts w:ascii="Times New Roman" w:hAnsi="Times New Roman" w:cs="Times New Roman"/>
          <w:lang w:val="en-GB"/>
        </w:rPr>
        <w:t xml:space="preserve"> is kept of the certificates issued for deactivated firearms for a period of at least </w:t>
      </w:r>
      <w:r w:rsidRPr="00326707">
        <w:rPr>
          <w:rFonts w:ascii="Times New Roman" w:hAnsi="Times New Roman" w:cs="Times New Roman"/>
          <w:b/>
          <w:lang w:val="en-GB"/>
        </w:rPr>
        <w:t>20 years</w:t>
      </w:r>
      <w:r w:rsidRPr="00326707">
        <w:rPr>
          <w:rFonts w:ascii="Times New Roman" w:hAnsi="Times New Roman" w:cs="Times New Roman"/>
          <w:lang w:val="en-GB"/>
        </w:rPr>
        <w:t>. The record must include an indication of the date of deactivation and the certificate number.</w:t>
      </w:r>
    </w:p>
    <w:p w14:paraId="7D779945" w14:textId="77777777" w:rsidR="006305D8" w:rsidRPr="00326707" w:rsidRDefault="006305D8" w:rsidP="00D21315">
      <w:pPr>
        <w:rPr>
          <w:rFonts w:ascii="Times New Roman" w:hAnsi="Times New Roman" w:cs="Times New Roman"/>
          <w:lang w:val="en-GB"/>
        </w:rPr>
      </w:pPr>
    </w:p>
    <w:p w14:paraId="703FDCC2" w14:textId="77777777" w:rsidR="006305D8" w:rsidRPr="00326707" w:rsidRDefault="00011C8F" w:rsidP="00D21315">
      <w:pPr>
        <w:rPr>
          <w:rFonts w:ascii="Times New Roman" w:hAnsi="Times New Roman" w:cs="Times New Roman"/>
          <w:lang w:val="en-GB"/>
        </w:rPr>
      </w:pPr>
      <w:r w:rsidRPr="00326707">
        <w:rPr>
          <w:rFonts w:ascii="Times New Roman" w:hAnsi="Times New Roman" w:cs="Times New Roman"/>
          <w:bCs/>
          <w:lang w:val="en-GB"/>
        </w:rPr>
        <w:t xml:space="preserve">Article 7 sets out conditions regulating the </w:t>
      </w:r>
      <w:r w:rsidRPr="00326707">
        <w:rPr>
          <w:rFonts w:ascii="Times New Roman" w:hAnsi="Times New Roman" w:cs="Times New Roman"/>
          <w:b/>
          <w:bCs/>
          <w:lang w:val="en-GB"/>
        </w:rPr>
        <w:t>transfer</w:t>
      </w:r>
      <w:r w:rsidR="00B75F58" w:rsidRPr="00326707">
        <w:rPr>
          <w:rFonts w:ascii="Times New Roman" w:hAnsi="Times New Roman" w:cs="Times New Roman"/>
          <w:b/>
          <w:bCs/>
          <w:lang w:val="en-GB"/>
        </w:rPr>
        <w:t xml:space="preserve"> of deactivated</w:t>
      </w:r>
      <w:r w:rsidR="00B75F58" w:rsidRPr="00326707">
        <w:rPr>
          <w:rFonts w:ascii="Times New Roman" w:hAnsi="Times New Roman" w:cs="Times New Roman"/>
          <w:bCs/>
          <w:lang w:val="en-GB"/>
        </w:rPr>
        <w:t xml:space="preserve"> firearms within the Union. According to Article 7, d</w:t>
      </w:r>
      <w:r w:rsidRPr="00326707">
        <w:rPr>
          <w:rFonts w:ascii="Times New Roman" w:hAnsi="Times New Roman" w:cs="Times New Roman"/>
          <w:lang w:val="en-GB"/>
        </w:rPr>
        <w:t xml:space="preserve">eactivated firearms may only be transferred to another Member State </w:t>
      </w:r>
      <w:r w:rsidR="00B75F58" w:rsidRPr="00326707">
        <w:rPr>
          <w:rFonts w:ascii="Times New Roman" w:hAnsi="Times New Roman" w:cs="Times New Roman"/>
          <w:lang w:val="en-GB"/>
        </w:rPr>
        <w:t xml:space="preserve">if </w:t>
      </w:r>
      <w:r w:rsidRPr="00326707">
        <w:rPr>
          <w:rFonts w:ascii="Times New Roman" w:hAnsi="Times New Roman" w:cs="Times New Roman"/>
          <w:lang w:val="en-GB"/>
        </w:rPr>
        <w:t>they bear the common unique marking and are accompanied by a deactivation certificate</w:t>
      </w:r>
      <w:r w:rsidR="00B75F58" w:rsidRPr="00326707">
        <w:rPr>
          <w:rFonts w:ascii="Times New Roman" w:hAnsi="Times New Roman" w:cs="Times New Roman"/>
          <w:lang w:val="en-GB"/>
        </w:rPr>
        <w:t xml:space="preserve">. </w:t>
      </w:r>
    </w:p>
    <w:p w14:paraId="5D04DF82" w14:textId="77777777" w:rsidR="006305D8" w:rsidRPr="00326707" w:rsidRDefault="006305D8" w:rsidP="00D21315">
      <w:pPr>
        <w:rPr>
          <w:rFonts w:ascii="Times New Roman" w:hAnsi="Times New Roman" w:cs="Times New Roman"/>
          <w:lang w:val="en-GB"/>
        </w:rPr>
      </w:pPr>
    </w:p>
    <w:p w14:paraId="1EFF60C2" w14:textId="77777777" w:rsidR="00AD1C0A" w:rsidRPr="00326707" w:rsidRDefault="00E80DCE" w:rsidP="00D21315">
      <w:pPr>
        <w:rPr>
          <w:rFonts w:ascii="Times New Roman" w:hAnsi="Times New Roman" w:cs="Times New Roman"/>
          <w:lang w:val="en-GB"/>
        </w:rPr>
      </w:pPr>
      <w:r w:rsidRPr="00326707">
        <w:rPr>
          <w:rFonts w:ascii="Times New Roman" w:hAnsi="Times New Roman" w:cs="Times New Roman"/>
          <w:lang w:val="en-GB"/>
        </w:rPr>
        <w:t>Member States remaining free to establish further deactivation measures,</w:t>
      </w:r>
      <w:r w:rsidR="00D54151" w:rsidRPr="00326707">
        <w:rPr>
          <w:rFonts w:ascii="Times New Roman" w:hAnsi="Times New Roman" w:cs="Times New Roman"/>
          <w:lang w:val="en-GB"/>
        </w:rPr>
        <w:t xml:space="preserve"> as stated by Article 6, </w:t>
      </w:r>
      <w:r w:rsidRPr="00326707">
        <w:rPr>
          <w:rFonts w:ascii="Times New Roman" w:hAnsi="Times New Roman" w:cs="Times New Roman"/>
          <w:lang w:val="en-GB"/>
        </w:rPr>
        <w:t xml:space="preserve">in case of transfer to a Member State having addition measures in place, the exporting Member State shall comply with these additional measures. </w:t>
      </w:r>
    </w:p>
    <w:p w14:paraId="462FC6D9" w14:textId="77777777" w:rsidR="006305D8" w:rsidRPr="00326707" w:rsidRDefault="006305D8" w:rsidP="00D21315">
      <w:pPr>
        <w:rPr>
          <w:rFonts w:ascii="Times New Roman" w:hAnsi="Times New Roman" w:cs="Times New Roman"/>
          <w:lang w:val="en-GB"/>
        </w:rPr>
      </w:pPr>
    </w:p>
    <w:p w14:paraId="31EC3A8A" w14:textId="77777777" w:rsidR="00E80DCE" w:rsidRPr="00326707" w:rsidRDefault="000F3558" w:rsidP="00D21315">
      <w:pPr>
        <w:rPr>
          <w:rFonts w:ascii="Times New Roman" w:hAnsi="Times New Roman" w:cs="Times New Roman"/>
          <w:bCs/>
          <w:lang w:val="en-GB"/>
        </w:rPr>
      </w:pPr>
      <w:r w:rsidRPr="00326707">
        <w:rPr>
          <w:rFonts w:ascii="Times New Roman" w:hAnsi="Times New Roman" w:cs="Times New Roman"/>
          <w:lang w:val="en-GB"/>
        </w:rPr>
        <w:t xml:space="preserve">Commission </w:t>
      </w:r>
      <w:r w:rsidRPr="00326707">
        <w:rPr>
          <w:rFonts w:ascii="Times New Roman" w:hAnsi="Times New Roman" w:cs="Times New Roman"/>
          <w:bCs/>
          <w:lang w:val="en-GB"/>
        </w:rPr>
        <w:t>implementing Regulation 2015/2403, which establishes also a notification mechanism to the Commission on any measure adopted by Member States</w:t>
      </w:r>
      <w:r w:rsidR="00427968" w:rsidRPr="00326707">
        <w:rPr>
          <w:rFonts w:ascii="Times New Roman" w:hAnsi="Times New Roman" w:cs="Times New Roman"/>
          <w:bCs/>
          <w:lang w:val="en-GB"/>
        </w:rPr>
        <w:t xml:space="preserve"> (Article 8)</w:t>
      </w:r>
      <w:r w:rsidRPr="00326707">
        <w:rPr>
          <w:rFonts w:ascii="Times New Roman" w:hAnsi="Times New Roman" w:cs="Times New Roman"/>
          <w:bCs/>
          <w:lang w:val="en-GB"/>
        </w:rPr>
        <w:t xml:space="preserve">, will apply from </w:t>
      </w:r>
      <w:r w:rsidRPr="00326707">
        <w:rPr>
          <w:rFonts w:ascii="Times New Roman" w:hAnsi="Times New Roman" w:cs="Times New Roman"/>
          <w:b/>
          <w:bCs/>
          <w:lang w:val="en-GB"/>
        </w:rPr>
        <w:t>8 April 2016</w:t>
      </w:r>
      <w:r w:rsidRPr="00326707">
        <w:rPr>
          <w:rFonts w:ascii="Times New Roman" w:hAnsi="Times New Roman" w:cs="Times New Roman"/>
          <w:bCs/>
          <w:lang w:val="en-GB"/>
        </w:rPr>
        <w:t xml:space="preserve">. </w:t>
      </w:r>
    </w:p>
    <w:p w14:paraId="4E8E9374" w14:textId="77777777" w:rsidR="00FF778F" w:rsidRPr="00326707" w:rsidRDefault="00FF778F" w:rsidP="00D21315">
      <w:pPr>
        <w:rPr>
          <w:rFonts w:ascii="Times New Roman" w:hAnsi="Times New Roman" w:cs="Times New Roman"/>
          <w:bCs/>
          <w:lang w:val="en-GB"/>
        </w:rPr>
      </w:pPr>
    </w:p>
    <w:sectPr w:rsidR="00FF778F" w:rsidRPr="00326707" w:rsidSect="00FB772E">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09FAB" w14:textId="77777777" w:rsidR="00C01F4E" w:rsidRDefault="00C01F4E" w:rsidP="001712FE">
      <w:r>
        <w:separator/>
      </w:r>
    </w:p>
  </w:endnote>
  <w:endnote w:type="continuationSeparator" w:id="0">
    <w:p w14:paraId="2855C165" w14:textId="77777777" w:rsidR="00C01F4E" w:rsidRDefault="00C01F4E" w:rsidP="0017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EUAlbertina">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BA261" w14:textId="77777777" w:rsidR="00C01F4E" w:rsidRDefault="00C01F4E" w:rsidP="001712FE">
      <w:r>
        <w:separator/>
      </w:r>
    </w:p>
  </w:footnote>
  <w:footnote w:type="continuationSeparator" w:id="0">
    <w:p w14:paraId="3C8C83D3" w14:textId="77777777" w:rsidR="00C01F4E" w:rsidRDefault="00C01F4E" w:rsidP="001712FE">
      <w:r>
        <w:continuationSeparator/>
      </w:r>
    </w:p>
  </w:footnote>
  <w:footnote w:id="1">
    <w:p w14:paraId="104D64CE" w14:textId="77777777" w:rsidR="001712FE" w:rsidRPr="008E1933" w:rsidRDefault="001712FE" w:rsidP="001712FE">
      <w:pPr>
        <w:pStyle w:val="Default"/>
        <w:rPr>
          <w:rFonts w:ascii="Times New Roman" w:hAnsi="Times New Roman" w:cs="Times New Roman"/>
          <w:sz w:val="20"/>
          <w:szCs w:val="20"/>
          <w:lang w:val="en-GB"/>
        </w:rPr>
      </w:pPr>
      <w:r w:rsidRPr="001A4749">
        <w:rPr>
          <w:rStyle w:val="Marquenotebasdepage"/>
          <w:rFonts w:ascii="Times New Roman" w:hAnsi="Times New Roman" w:cs="Times New Roman"/>
          <w:sz w:val="20"/>
          <w:szCs w:val="20"/>
          <w:lang w:val="en-GB"/>
        </w:rPr>
        <w:footnoteRef/>
      </w:r>
      <w:r w:rsidRPr="001A4749">
        <w:rPr>
          <w:rFonts w:ascii="Times New Roman" w:hAnsi="Times New Roman" w:cs="Times New Roman"/>
          <w:sz w:val="20"/>
          <w:szCs w:val="20"/>
          <w:lang w:val="en-GB"/>
        </w:rPr>
        <w:t xml:space="preserve"> On 18 November 2015, the Commission proposed a new Directive amending the existing Firearms Directive 91/477/EEC as amended by Directive 2008/51/EC (Proposal for a </w:t>
      </w:r>
      <w:r w:rsidRPr="008E1933">
        <w:rPr>
          <w:rFonts w:ascii="Times New Roman" w:hAnsi="Times New Roman" w:cs="Times New Roman"/>
          <w:bCs/>
          <w:sz w:val="20"/>
          <w:szCs w:val="20"/>
          <w:lang w:val="en-GB"/>
        </w:rPr>
        <w:t xml:space="preserve">Directive of the European Parliament and of the Council amending Council Directive 91/477/EEC on control of the acquisition and possession of weapons, Brussels, 18 November 2015, </w:t>
      </w:r>
      <w:proofErr w:type="gramStart"/>
      <w:r w:rsidRPr="008E1933">
        <w:rPr>
          <w:rFonts w:ascii="Times New Roman" w:hAnsi="Times New Roman" w:cs="Times New Roman"/>
          <w:bCs/>
          <w:sz w:val="20"/>
          <w:szCs w:val="20"/>
          <w:lang w:val="en-GB"/>
        </w:rPr>
        <w:t>COM(</w:t>
      </w:r>
      <w:proofErr w:type="gramEnd"/>
      <w:r w:rsidRPr="008E1933">
        <w:rPr>
          <w:rFonts w:ascii="Times New Roman" w:hAnsi="Times New Roman" w:cs="Times New Roman"/>
          <w:bCs/>
          <w:sz w:val="20"/>
          <w:szCs w:val="20"/>
          <w:lang w:val="en-GB"/>
        </w:rPr>
        <w:t>2015) 750 final).</w:t>
      </w:r>
    </w:p>
    <w:p w14:paraId="0420DFA6" w14:textId="77777777" w:rsidR="001712FE" w:rsidRPr="008E1933" w:rsidRDefault="001712FE" w:rsidP="001712FE">
      <w:pPr>
        <w:rPr>
          <w:rFonts w:ascii="Times New Roman" w:hAnsi="Times New Roman" w:cs="Times New Roman"/>
          <w:sz w:val="20"/>
          <w:szCs w:val="20"/>
          <w:lang w:val="en-GB"/>
        </w:rPr>
      </w:pPr>
      <w:r w:rsidRPr="008E1933">
        <w:rPr>
          <w:rFonts w:ascii="Times New Roman" w:hAnsi="Times New Roman" w:cs="Times New Roman"/>
          <w:sz w:val="20"/>
          <w:szCs w:val="20"/>
          <w:lang w:val="en-GB"/>
        </w:rPr>
        <w:t xml:space="preserve">The objective is to strengthen the legal framework in the field of possession and trade in firearms across the </w:t>
      </w:r>
      <w:proofErr w:type="gramStart"/>
      <w:r w:rsidRPr="008E1933">
        <w:rPr>
          <w:rFonts w:ascii="Times New Roman" w:hAnsi="Times New Roman" w:cs="Times New Roman"/>
          <w:sz w:val="20"/>
          <w:szCs w:val="20"/>
          <w:lang w:val="en-GB"/>
        </w:rPr>
        <w:t>EU,</w:t>
      </w:r>
      <w:proofErr w:type="gramEnd"/>
      <w:r w:rsidRPr="008E1933">
        <w:rPr>
          <w:rFonts w:ascii="Times New Roman" w:hAnsi="Times New Roman" w:cs="Times New Roman"/>
          <w:sz w:val="20"/>
          <w:szCs w:val="20"/>
          <w:lang w:val="en-GB"/>
        </w:rPr>
        <w:t xml:space="preserve"> especially following terrorist attacks in August and November 2015 on the EU territory. The principle at the basis is to overcome, as much as possible, Member States’ differences in national rules on the possession and trade in firearms and to improve the cross-border exchange of information. </w:t>
      </w:r>
    </w:p>
    <w:p w14:paraId="7C30883E" w14:textId="77777777" w:rsidR="001712FE" w:rsidRPr="001A4749" w:rsidRDefault="001712FE">
      <w:pPr>
        <w:pStyle w:val="Notedebasdepage"/>
        <w:rPr>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B69"/>
    <w:multiLevelType w:val="hybridMultilevel"/>
    <w:tmpl w:val="F1CCDA94"/>
    <w:lvl w:ilvl="0" w:tplc="C9683A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494A12"/>
    <w:multiLevelType w:val="hybridMultilevel"/>
    <w:tmpl w:val="5BAEB28C"/>
    <w:lvl w:ilvl="0" w:tplc="4276113A">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15"/>
    <w:rsid w:val="00011C8F"/>
    <w:rsid w:val="00084ADE"/>
    <w:rsid w:val="000F3558"/>
    <w:rsid w:val="001712FE"/>
    <w:rsid w:val="001A4749"/>
    <w:rsid w:val="002033F6"/>
    <w:rsid w:val="00326707"/>
    <w:rsid w:val="003C7D34"/>
    <w:rsid w:val="004203F5"/>
    <w:rsid w:val="00427968"/>
    <w:rsid w:val="00496042"/>
    <w:rsid w:val="006212BB"/>
    <w:rsid w:val="006305D8"/>
    <w:rsid w:val="00685A42"/>
    <w:rsid w:val="008341B7"/>
    <w:rsid w:val="008633C5"/>
    <w:rsid w:val="008E1933"/>
    <w:rsid w:val="00967D59"/>
    <w:rsid w:val="00985652"/>
    <w:rsid w:val="00A472DC"/>
    <w:rsid w:val="00AA70A4"/>
    <w:rsid w:val="00AB00E0"/>
    <w:rsid w:val="00AD1C0A"/>
    <w:rsid w:val="00B67EAF"/>
    <w:rsid w:val="00B75F58"/>
    <w:rsid w:val="00C01F4E"/>
    <w:rsid w:val="00D01DD4"/>
    <w:rsid w:val="00D21315"/>
    <w:rsid w:val="00D54151"/>
    <w:rsid w:val="00E62AB9"/>
    <w:rsid w:val="00E80DCE"/>
    <w:rsid w:val="00EC3A1D"/>
    <w:rsid w:val="00FB1A12"/>
    <w:rsid w:val="00FB772E"/>
    <w:rsid w:val="00FF77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FA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21315"/>
    <w:pPr>
      <w:widowControl w:val="0"/>
      <w:autoSpaceDE w:val="0"/>
      <w:autoSpaceDN w:val="0"/>
      <w:adjustRightInd w:val="0"/>
    </w:pPr>
    <w:rPr>
      <w:rFonts w:ascii="EUAlbertina" w:hAnsi="EUAlbertina" w:cs="EUAlbertina"/>
      <w:color w:val="000000"/>
    </w:rPr>
  </w:style>
  <w:style w:type="paragraph" w:styleId="Paragraphedeliste">
    <w:name w:val="List Paragraph"/>
    <w:basedOn w:val="Normal"/>
    <w:uiPriority w:val="34"/>
    <w:qFormat/>
    <w:rsid w:val="00AA70A4"/>
    <w:pPr>
      <w:ind w:left="720"/>
      <w:contextualSpacing/>
    </w:pPr>
  </w:style>
  <w:style w:type="paragraph" w:styleId="Textedebulles">
    <w:name w:val="Balloon Text"/>
    <w:basedOn w:val="Normal"/>
    <w:link w:val="TextedebullesCar"/>
    <w:uiPriority w:val="99"/>
    <w:semiHidden/>
    <w:unhideWhenUsed/>
    <w:rsid w:val="00D541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54151"/>
    <w:rPr>
      <w:rFonts w:ascii="Lucida Grande" w:hAnsi="Lucida Grande" w:cs="Lucida Grande"/>
      <w:sz w:val="18"/>
      <w:szCs w:val="18"/>
    </w:rPr>
  </w:style>
  <w:style w:type="character" w:styleId="Marquedannotation">
    <w:name w:val="annotation reference"/>
    <w:basedOn w:val="Policepardfaut"/>
    <w:uiPriority w:val="99"/>
    <w:semiHidden/>
    <w:unhideWhenUsed/>
    <w:rsid w:val="006305D8"/>
    <w:rPr>
      <w:sz w:val="18"/>
      <w:szCs w:val="18"/>
    </w:rPr>
  </w:style>
  <w:style w:type="paragraph" w:styleId="Commentaire">
    <w:name w:val="annotation text"/>
    <w:basedOn w:val="Normal"/>
    <w:link w:val="CommentaireCar"/>
    <w:uiPriority w:val="99"/>
    <w:semiHidden/>
    <w:unhideWhenUsed/>
    <w:rsid w:val="006305D8"/>
  </w:style>
  <w:style w:type="character" w:customStyle="1" w:styleId="CommentaireCar">
    <w:name w:val="Commentaire Car"/>
    <w:basedOn w:val="Policepardfaut"/>
    <w:link w:val="Commentaire"/>
    <w:uiPriority w:val="99"/>
    <w:semiHidden/>
    <w:rsid w:val="006305D8"/>
  </w:style>
  <w:style w:type="paragraph" w:styleId="Objetducommentaire">
    <w:name w:val="annotation subject"/>
    <w:basedOn w:val="Commentaire"/>
    <w:next w:val="Commentaire"/>
    <w:link w:val="ObjetducommentaireCar"/>
    <w:uiPriority w:val="99"/>
    <w:semiHidden/>
    <w:unhideWhenUsed/>
    <w:rsid w:val="006305D8"/>
    <w:rPr>
      <w:b/>
      <w:bCs/>
      <w:sz w:val="20"/>
      <w:szCs w:val="20"/>
    </w:rPr>
  </w:style>
  <w:style w:type="character" w:customStyle="1" w:styleId="ObjetducommentaireCar">
    <w:name w:val="Objet du commentaire Car"/>
    <w:basedOn w:val="CommentaireCar"/>
    <w:link w:val="Objetducommentaire"/>
    <w:uiPriority w:val="99"/>
    <w:semiHidden/>
    <w:rsid w:val="006305D8"/>
    <w:rPr>
      <w:b/>
      <w:bCs/>
      <w:sz w:val="20"/>
      <w:szCs w:val="20"/>
    </w:rPr>
  </w:style>
  <w:style w:type="paragraph" w:styleId="Notedebasdepage">
    <w:name w:val="footnote text"/>
    <w:basedOn w:val="Normal"/>
    <w:link w:val="NotedebasdepageCar"/>
    <w:uiPriority w:val="99"/>
    <w:unhideWhenUsed/>
    <w:rsid w:val="001712FE"/>
  </w:style>
  <w:style w:type="character" w:customStyle="1" w:styleId="NotedebasdepageCar">
    <w:name w:val="Note de bas de page Car"/>
    <w:basedOn w:val="Policepardfaut"/>
    <w:link w:val="Notedebasdepage"/>
    <w:uiPriority w:val="99"/>
    <w:rsid w:val="001712FE"/>
  </w:style>
  <w:style w:type="character" w:styleId="Marquenotebasdepage">
    <w:name w:val="footnote reference"/>
    <w:basedOn w:val="Policepardfaut"/>
    <w:uiPriority w:val="99"/>
    <w:unhideWhenUsed/>
    <w:rsid w:val="001712F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21315"/>
    <w:pPr>
      <w:widowControl w:val="0"/>
      <w:autoSpaceDE w:val="0"/>
      <w:autoSpaceDN w:val="0"/>
      <w:adjustRightInd w:val="0"/>
    </w:pPr>
    <w:rPr>
      <w:rFonts w:ascii="EUAlbertina" w:hAnsi="EUAlbertina" w:cs="EUAlbertina"/>
      <w:color w:val="000000"/>
    </w:rPr>
  </w:style>
  <w:style w:type="paragraph" w:styleId="Paragraphedeliste">
    <w:name w:val="List Paragraph"/>
    <w:basedOn w:val="Normal"/>
    <w:uiPriority w:val="34"/>
    <w:qFormat/>
    <w:rsid w:val="00AA70A4"/>
    <w:pPr>
      <w:ind w:left="720"/>
      <w:contextualSpacing/>
    </w:pPr>
  </w:style>
  <w:style w:type="paragraph" w:styleId="Textedebulles">
    <w:name w:val="Balloon Text"/>
    <w:basedOn w:val="Normal"/>
    <w:link w:val="TextedebullesCar"/>
    <w:uiPriority w:val="99"/>
    <w:semiHidden/>
    <w:unhideWhenUsed/>
    <w:rsid w:val="00D541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54151"/>
    <w:rPr>
      <w:rFonts w:ascii="Lucida Grande" w:hAnsi="Lucida Grande" w:cs="Lucida Grande"/>
      <w:sz w:val="18"/>
      <w:szCs w:val="18"/>
    </w:rPr>
  </w:style>
  <w:style w:type="character" w:styleId="Marquedannotation">
    <w:name w:val="annotation reference"/>
    <w:basedOn w:val="Policepardfaut"/>
    <w:uiPriority w:val="99"/>
    <w:semiHidden/>
    <w:unhideWhenUsed/>
    <w:rsid w:val="006305D8"/>
    <w:rPr>
      <w:sz w:val="18"/>
      <w:szCs w:val="18"/>
    </w:rPr>
  </w:style>
  <w:style w:type="paragraph" w:styleId="Commentaire">
    <w:name w:val="annotation text"/>
    <w:basedOn w:val="Normal"/>
    <w:link w:val="CommentaireCar"/>
    <w:uiPriority w:val="99"/>
    <w:semiHidden/>
    <w:unhideWhenUsed/>
    <w:rsid w:val="006305D8"/>
  </w:style>
  <w:style w:type="character" w:customStyle="1" w:styleId="CommentaireCar">
    <w:name w:val="Commentaire Car"/>
    <w:basedOn w:val="Policepardfaut"/>
    <w:link w:val="Commentaire"/>
    <w:uiPriority w:val="99"/>
    <w:semiHidden/>
    <w:rsid w:val="006305D8"/>
  </w:style>
  <w:style w:type="paragraph" w:styleId="Objetducommentaire">
    <w:name w:val="annotation subject"/>
    <w:basedOn w:val="Commentaire"/>
    <w:next w:val="Commentaire"/>
    <w:link w:val="ObjetducommentaireCar"/>
    <w:uiPriority w:val="99"/>
    <w:semiHidden/>
    <w:unhideWhenUsed/>
    <w:rsid w:val="006305D8"/>
    <w:rPr>
      <w:b/>
      <w:bCs/>
      <w:sz w:val="20"/>
      <w:szCs w:val="20"/>
    </w:rPr>
  </w:style>
  <w:style w:type="character" w:customStyle="1" w:styleId="ObjetducommentaireCar">
    <w:name w:val="Objet du commentaire Car"/>
    <w:basedOn w:val="CommentaireCar"/>
    <w:link w:val="Objetducommentaire"/>
    <w:uiPriority w:val="99"/>
    <w:semiHidden/>
    <w:rsid w:val="006305D8"/>
    <w:rPr>
      <w:b/>
      <w:bCs/>
      <w:sz w:val="20"/>
      <w:szCs w:val="20"/>
    </w:rPr>
  </w:style>
  <w:style w:type="paragraph" w:styleId="Notedebasdepage">
    <w:name w:val="footnote text"/>
    <w:basedOn w:val="Normal"/>
    <w:link w:val="NotedebasdepageCar"/>
    <w:uiPriority w:val="99"/>
    <w:unhideWhenUsed/>
    <w:rsid w:val="001712FE"/>
  </w:style>
  <w:style w:type="character" w:customStyle="1" w:styleId="NotedebasdepageCar">
    <w:name w:val="Note de bas de page Car"/>
    <w:basedOn w:val="Policepardfaut"/>
    <w:link w:val="Notedebasdepage"/>
    <w:uiPriority w:val="99"/>
    <w:rsid w:val="001712FE"/>
  </w:style>
  <w:style w:type="character" w:styleId="Marquenotebasdepage">
    <w:name w:val="footnote reference"/>
    <w:basedOn w:val="Policepardfaut"/>
    <w:uiPriority w:val="99"/>
    <w:unhideWhenUsed/>
    <w:rsid w:val="001712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3465</Characters>
  <Application>Microsoft Macintosh Word</Application>
  <DocSecurity>0</DocSecurity>
  <Lines>28</Lines>
  <Paragraphs>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Caponetti</dc:creator>
  <cp:keywords/>
  <dc:description/>
  <cp:lastModifiedBy>Lia Caponetti</cp:lastModifiedBy>
  <cp:revision>6</cp:revision>
  <dcterms:created xsi:type="dcterms:W3CDTF">2016-01-12T07:59:00Z</dcterms:created>
  <dcterms:modified xsi:type="dcterms:W3CDTF">2016-01-12T09:14:00Z</dcterms:modified>
</cp:coreProperties>
</file>